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0B0018B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22"/>
                    <w:gridCol w:w="242"/>
                    <w:gridCol w:w="222"/>
                  </w:tblGrid>
                  <w:tr w14:paraId="214DA50D" w14:textId="77777777"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</w:tcPr>
                      <w:p w:rsidR="00374364" w:rsidRPr="006963FA" w:rsidP="00374364" w14:paraId="7AB8FE88" w14:textId="77777777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374364" w:rsidRPr="006963FA" w:rsidP="00374364" w14:paraId="26099135" w14:textId="77777777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374364" w:rsidRPr="006963FA" w:rsidP="00374364" w14:paraId="58146403" w14:textId="77777777">
                        <w:pPr>
                          <w:jc w:val="center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 w14:paraId="5DC2B84C" w14:textId="77777777">
                    <w:tblPrEx>
                      <w:tblW w:w="0" w:type="auto"/>
                      <w:jc w:val="center"/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</w:tcPr>
                      <w:p w:rsidR="00DC4FD6" w:rsidRPr="002B683A" w:rsidP="00374364" w14:paraId="3AC1B505" w14:textId="77777777">
                        <w:pPr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DC4FD6" w:rsidRPr="009D1EC6" w:rsidP="00374364" w14:paraId="344A5DBB" w14:textId="77777777">
                        <w:pPr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</w:tcPr>
                      <w:p w:rsidR="00DC4FD6" w:rsidRPr="002B683A" w:rsidP="00374364" w14:paraId="23FA8B67" w14:textId="77777777">
                        <w:pPr>
                          <w:jc w:val="center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207BBC" w14:paraId="12251933" w14:textId="77777777"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  <w:r>
        <w:pict>
          <v:shape id="_x0000_s1026" type="#_x0000_t202" style="width:595.3pt;height:0;margin-top:0;margin-left:0;mso-position-horizontal:center;mso-position-horizontal-relative:page;mso-position-vertical:bottom;mso-position-vertical-relative:page;mso-wrap-style:square;position:absolute;z-index:251659264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0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C582E" w:rsidP="00B3670E" w14:paraId="1DC1EED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33F4825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46388A4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21DEE16" w14:textId="675D493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31.10.2024 № </w:t>
      </w:r>
      <w:r w:rsidRPr="001F7FC3" w:rsidR="001F7FC3">
        <w:rPr>
          <w:rFonts w:ascii="Times New Roman" w:hAnsi="Times New Roman" w:cs="Times New Roman"/>
          <w:sz w:val="28"/>
          <w:szCs w:val="28"/>
        </w:rPr>
        <w:t>1825-80-08</w:t>
      </w:r>
    </w:p>
    <w:p w:rsidR="004208DA" w:rsidRPr="007C582E" w:rsidP="004208DA" w14:paraId="5143741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F17" w:rsidP="00FA6F53" w14:paraId="1A84A250" w14:textId="77777777">
      <w:pPr>
        <w:pStyle w:val="NormalWeb"/>
        <w:spacing w:before="0" w:beforeAutospacing="0" w:after="0" w:afterAutospacing="0"/>
        <w:ind w:left="5100"/>
        <w:rPr>
          <w:color w:val="000000"/>
          <w:sz w:val="28"/>
          <w:szCs w:val="28"/>
        </w:rPr>
      </w:pPr>
      <w:permStart w:id="1" w:edGrp="everyone"/>
      <w:r>
        <w:rPr>
          <w:color w:val="000000"/>
          <w:sz w:val="28"/>
          <w:szCs w:val="28"/>
        </w:rPr>
        <w:t xml:space="preserve">Президенту України </w:t>
      </w:r>
    </w:p>
    <w:p w:rsidR="00FA6F53" w:rsidP="00FA6F53" w14:paraId="23CA9099" w14:textId="2D15059A">
      <w:pPr>
        <w:pStyle w:val="NormalWeb"/>
        <w:spacing w:before="0" w:beforeAutospacing="0" w:after="0" w:afterAutospacing="0"/>
        <w:ind w:left="510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Володимиру Зеленському</w:t>
      </w:r>
    </w:p>
    <w:p w:rsidR="00FA6F53" w:rsidP="00FA6F53" w14:paraId="2D1A0511" w14:textId="77777777">
      <w:pPr>
        <w:pStyle w:val="NormalWeb"/>
        <w:spacing w:before="0" w:beforeAutospacing="0" w:after="0" w:afterAutospacing="0"/>
        <w:ind w:left="5100"/>
        <w:rPr>
          <w:color w:val="000000"/>
          <w:sz w:val="16"/>
          <w:szCs w:val="16"/>
        </w:rPr>
      </w:pPr>
    </w:p>
    <w:p w:rsidR="00FA6F53" w:rsidP="00FA6F53" w14:paraId="5A411B97" w14:textId="77777777">
      <w:pPr>
        <w:pStyle w:val="NormalWeb"/>
        <w:spacing w:before="0" w:beforeAutospacing="0" w:after="0" w:afterAutospacing="0"/>
        <w:ind w:left="510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Голові Верховної Ради України</w:t>
      </w:r>
    </w:p>
    <w:p w:rsidR="00FA6F53" w:rsidP="00FA6F53" w14:paraId="0ECC5576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A6F53" w:rsidP="00FA6F53" w14:paraId="4FF74F08" w14:textId="77777777">
      <w:pPr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Міжнародним партнерам Броварської міської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громади:</w:t>
      </w:r>
    </w:p>
    <w:p w:rsidR="00FA6F53" w:rsidP="00FA6F53" w14:paraId="5D9FC477" w14:textId="77777777">
      <w:pPr>
        <w:shd w:val="clear" w:color="auto" w:fill="FFFFFF"/>
        <w:spacing w:after="0" w:line="240" w:lineRule="auto"/>
        <w:ind w:left="5103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>Гнезненський повіт, Великопольське воєводство, Республіка Польща</w:t>
      </w:r>
    </w:p>
    <w:p w:rsidR="00FA6F53" w:rsidP="00FA6F53" w14:paraId="5540EBE9" w14:textId="77777777">
      <w:pPr>
        <w:shd w:val="clear" w:color="auto" w:fill="FFFFFF"/>
        <w:spacing w:after="0" w:line="240" w:lineRule="auto"/>
        <w:ind w:left="5103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>Ґродзиський повіт, Великопольське воєводство, Республіка Польща</w:t>
      </w:r>
    </w:p>
    <w:p w:rsidR="00FA6F53" w:rsidP="00FA6F53" w14:paraId="36A72BF4" w14:textId="77777777">
      <w:pPr>
        <w:shd w:val="clear" w:color="auto" w:fill="FFFFFF"/>
        <w:spacing w:after="0" w:line="240" w:lineRule="auto"/>
        <w:ind w:left="5103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>Красницький повіт, Люблинське воєводство, Республіка Польща</w:t>
      </w:r>
    </w:p>
    <w:p w:rsidR="00FA6F53" w:rsidP="00FA6F53" w14:paraId="464DEF1B" w14:textId="77777777">
      <w:pPr>
        <w:shd w:val="clear" w:color="auto" w:fill="FFFFFF"/>
        <w:spacing w:after="0" w:line="240" w:lineRule="auto"/>
        <w:ind w:left="5103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>м. Задар, Республіка Хорватія</w:t>
      </w:r>
    </w:p>
    <w:p w:rsidR="00FA6F53" w:rsidP="00FA6F53" w14:paraId="36DAB2E1" w14:textId="77777777">
      <w:pPr>
        <w:shd w:val="clear" w:color="auto" w:fill="FFFFFF"/>
        <w:spacing w:after="0" w:line="240" w:lineRule="auto"/>
        <w:ind w:left="5103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>Рокфорд, штат Іллінойс, США</w:t>
      </w:r>
    </w:p>
    <w:p w:rsidR="00FA6F53" w:rsidP="00FA6F53" w14:paraId="7F0D33EE" w14:textId="77777777">
      <w:pPr>
        <w:shd w:val="clear" w:color="auto" w:fill="FFFFFF"/>
        <w:spacing w:after="0" w:line="240" w:lineRule="auto"/>
        <w:ind w:left="5103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>м. Такома, штат Вашингтон, США</w:t>
      </w:r>
    </w:p>
    <w:p w:rsidR="00FA6F53" w:rsidP="00FA6F53" w14:paraId="388E3BA1" w14:textId="77777777">
      <w:pPr>
        <w:shd w:val="clear" w:color="auto" w:fill="FFFFFF"/>
        <w:spacing w:after="0" w:line="240" w:lineRule="auto"/>
        <w:ind w:left="5103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>м. Санта-Марінелла, провінція Риму, Італійська Республіка</w:t>
      </w:r>
    </w:p>
    <w:p w:rsidR="00FA6F53" w:rsidP="00FA6F53" w14:paraId="4392673B" w14:textId="77777777">
      <w:pPr>
        <w:shd w:val="clear" w:color="auto" w:fill="FFFFFF"/>
        <w:spacing w:after="0" w:line="240" w:lineRule="auto"/>
        <w:ind w:left="5103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>м. Сілламяе, Естонська Республіка</w:t>
      </w:r>
    </w:p>
    <w:p w:rsidR="00FA6F53" w:rsidP="00FA6F53" w14:paraId="628F10CF" w14:textId="77777777">
      <w:pPr>
        <w:shd w:val="clear" w:color="auto" w:fill="FFFFFF"/>
        <w:spacing w:after="0" w:line="240" w:lineRule="auto"/>
        <w:ind w:left="5103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>м. Фонтене-су-Буа, Французька Республіка</w:t>
      </w:r>
    </w:p>
    <w:p w:rsidR="00FA6F53" w:rsidP="00FA6F53" w14:paraId="2584AEE4" w14:textId="77777777">
      <w:pPr>
        <w:shd w:val="clear" w:color="auto" w:fill="FFFFFF"/>
        <w:spacing w:after="0" w:line="240" w:lineRule="auto"/>
        <w:ind w:left="5103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 xml:space="preserve">м. Ерлаген, </w:t>
      </w:r>
      <w:bookmarkStart w:id="2" w:name="_Hlk181111847"/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>Федеративна Республіка Німеччина</w:t>
      </w:r>
    </w:p>
    <w:bookmarkEnd w:id="2"/>
    <w:p w:rsidR="00FA6F53" w:rsidP="00FA6F53" w14:paraId="6E362490" w14:textId="77777777">
      <w:pPr>
        <w:shd w:val="clear" w:color="auto" w:fill="FFFFFF"/>
        <w:spacing w:after="0" w:line="240" w:lineRule="auto"/>
        <w:ind w:left="5103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 xml:space="preserve">м. Єна, </w:t>
      </w:r>
      <w:bookmarkStart w:id="3" w:name="_Hlk181111910"/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>Федеративна</w:t>
      </w:r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 xml:space="preserve"> Республіка Німеччина</w:t>
      </w:r>
      <w:bookmarkEnd w:id="3"/>
    </w:p>
    <w:p w:rsidR="00FA6F53" w:rsidP="00FA6F53" w14:paraId="2E2589F2" w14:textId="77777777">
      <w:pPr>
        <w:shd w:val="clear" w:color="auto" w:fill="FFFFFF"/>
        <w:spacing w:after="0" w:line="240" w:lineRule="auto"/>
        <w:ind w:left="5103"/>
        <w:jc w:val="both"/>
        <w:textAlignment w:val="baseline"/>
        <w:outlineLvl w:val="0"/>
        <w:rPr>
          <w:rFonts w:ascii="Times New Roman" w:hAnsi="Times New Roman" w:eastAsiaTheme="minorHAnsi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pacing w:val="-17"/>
          <w:kern w:val="36"/>
          <w:sz w:val="28"/>
          <w:szCs w:val="28"/>
        </w:rPr>
        <w:t>район Лан-Ділль-Крайс, Федеративна Республіка Німеччина</w:t>
      </w:r>
    </w:p>
    <w:p w:rsidR="00FA6F53" w:rsidP="00FA6F53" w14:paraId="7129D676" w14:textId="77777777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FA6F53" w:rsidP="00FA6F53" w14:paraId="6D156CFE" w14:textId="77777777">
      <w:pPr>
        <w:pStyle w:val="NormalWeb"/>
        <w:spacing w:before="0" w:beforeAutospacing="0" w:after="0" w:afterAutospacing="0"/>
        <w:ind w:left="5100"/>
        <w:rPr>
          <w:rFonts w:ascii="Arial" w:hAnsi="Arial" w:cs="Arial"/>
          <w:color w:val="000000"/>
          <w:sz w:val="22"/>
          <w:szCs w:val="22"/>
        </w:rPr>
      </w:pPr>
    </w:p>
    <w:p w:rsidR="00FA6F53" w:rsidP="00FA6F53" w14:paraId="6A033D7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ЗВЕРНЕННЯ</w:t>
      </w:r>
    </w:p>
    <w:p w:rsidR="00FA6F53" w:rsidP="00FA6F53" w14:paraId="195ACFEF" w14:textId="77777777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Броварської міської ради Броварського району Київської області 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скликання щодо підтримки Плану перемоги, представленого Президентом України Володимиром Зеленським</w:t>
      </w:r>
    </w:p>
    <w:p w:rsidR="00FA6F53" w:rsidP="00FA6F53" w14:paraId="4BE7D06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FA6F53" w:rsidP="00FA6F53" w14:paraId="1732CB53" w14:textId="7777777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Безпека і мир для України – найбажаніша мета. Через російську агресію ми переживаємо надскладний період і ситуація загострюється через прагнення ворога до повного знищення нашої держави, яке він постійно демонструє своїми атаками.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 xml:space="preserve">Тому для України важливо продовжувати зміцнювати свій </w:t>
      </w:r>
      <w:r>
        <w:rPr>
          <w:color w:val="000000"/>
          <w:sz w:val="28"/>
          <w:szCs w:val="28"/>
        </w:rPr>
        <w:t>оборонний і безпековий потенціал та національну стійкість, у тому числі шляхом об’єднання зусиль на місцевому, державному і міжнародному рівнях для протидії агресії рф.</w:t>
      </w:r>
    </w:p>
    <w:p w:rsidR="00FA6F53" w:rsidP="00FA6F53" w14:paraId="12AEE2B5" w14:textId="7777777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Представлений Президентом України</w:t>
      </w:r>
      <w:r>
        <w:rPr>
          <w:color w:val="000000"/>
          <w:sz w:val="28"/>
          <w:szCs w:val="28"/>
        </w:rPr>
        <w:t xml:space="preserve"> Володимиром Зеленським План перемоги – це перелік необхідних заходів, які мають завершити війну в Україні, що триває майже 11 років. Це План перемоги не лише для України, а й план безпекової стабільності для інших країн Європи та світу.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>Для нас перемога –</w:t>
      </w:r>
      <w:r>
        <w:rPr>
          <w:color w:val="000000"/>
          <w:sz w:val="28"/>
          <w:szCs w:val="28"/>
        </w:rPr>
        <w:t xml:space="preserve"> це повернення всіх без винятку захоплених територій і надійні міжнародні гарантії безпеки, щоб уникнути повторної російської агресії.</w:t>
      </w:r>
    </w:p>
    <w:p w:rsidR="00FA6F53" w:rsidP="00FA6F53" w14:paraId="5A3BEC08" w14:textId="7777777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Кожен пункт нашого Плану спрямований на забезпечення перемоги.</w:t>
      </w:r>
    </w:p>
    <w:p w:rsidR="00FA6F53" w:rsidP="00FA6F53" w14:paraId="47DAC42D" w14:textId="7777777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Перший пункт Плану має геополітичний характер, він передба</w:t>
      </w:r>
      <w:r>
        <w:rPr>
          <w:color w:val="000000"/>
          <w:sz w:val="28"/>
          <w:szCs w:val="28"/>
        </w:rPr>
        <w:t xml:space="preserve">чає запрошення та подальший вступ України до НАТО. </w:t>
      </w:r>
    </w:p>
    <w:p w:rsidR="00FA6F53" w:rsidP="00FA6F53" w14:paraId="2EA4C0F3" w14:textId="7777777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Другий та третій пункти є військовими та включають заходи щодо зміцнення обороноздатності держави. Четвертий пункт  стосується економічного розвитку, п’ятий — безпекових питань.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>Питання вступу до НАТО є н</w:t>
      </w:r>
      <w:r>
        <w:rPr>
          <w:color w:val="000000"/>
          <w:sz w:val="28"/>
          <w:szCs w:val="28"/>
        </w:rPr>
        <w:t>адзвичайно важливими для майбутнього справедливого миру в Україні та всьому євроатлантичному регіоні. Це стане гарною мотивацією та потужною підтримкою для українських військових та всіх наших громадян, тому що українці довели, що можуть захищати себе та і</w:t>
      </w:r>
      <w:r>
        <w:rPr>
          <w:color w:val="000000"/>
          <w:sz w:val="28"/>
          <w:szCs w:val="28"/>
        </w:rPr>
        <w:t>нші демократичні нації.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 xml:space="preserve">Для України залишається стратегічно важливою іноземна допомога у справі підвищення безпеки та оборони нашої держави, тому другий пункт – це зміцнення української оборони у боротьбі проти агресора та захист наших позицій на полі бою </w:t>
      </w:r>
      <w:r>
        <w:rPr>
          <w:color w:val="000000"/>
          <w:sz w:val="28"/>
          <w:szCs w:val="28"/>
        </w:rPr>
        <w:t>в Україні.</w:t>
      </w:r>
    </w:p>
    <w:p w:rsidR="00FA6F53" w:rsidP="00FA6F53" w14:paraId="018AF283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Третім пунктом Плану передбачається розміщення на території України комплексного неядерного стратегічного пакету стримування, достатнього для захисту країни від агресорів.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A6F53" w:rsidP="00FA6F53" w14:paraId="4A8642F6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Економічний розвиток України, зокрема виробництво енергії та продовольст</w:t>
      </w:r>
      <w:r>
        <w:rPr>
          <w:color w:val="000000"/>
          <w:sz w:val="28"/>
          <w:szCs w:val="28"/>
        </w:rPr>
        <w:t>ва є також стратегічним пріоритетом у цій війні, що робить важливим четвертий пункт Плану, який передбачає захист критичних ресурсів, спільного з іноземними партнерами інвестування та використання економічного потенціалу країни.</w:t>
      </w:r>
    </w:p>
    <w:p w:rsidR="00FA6F53" w:rsidP="00FA6F53" w14:paraId="1BC3BA20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П’ятий пункт стосується без</w:t>
      </w:r>
      <w:r>
        <w:rPr>
          <w:color w:val="000000"/>
          <w:sz w:val="28"/>
          <w:szCs w:val="28"/>
        </w:rPr>
        <w:t>пекових питань у післявоєнний період. Передбачається, що після війни Україна матиме один із найбільш досвідчених військових контингентів у Європі, українці володітимуть реальним досвідом ведення сучасної війни із використанням західної зброї та взаємодії з</w:t>
      </w:r>
      <w:r>
        <w:rPr>
          <w:color w:val="000000"/>
          <w:sz w:val="28"/>
          <w:szCs w:val="28"/>
        </w:rPr>
        <w:t xml:space="preserve"> військовими НАТО.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A6F53" w:rsidP="00FA6F53" w14:paraId="3EC82C00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Українці прагнуть чесного і справедливого миру, тому представлений План перемоги, в першу чергу, закликає міжнародних партнерів підтримати Україну, оскільки від його успіху залежить майбутнє Європи та світу.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> Українське суспільство конс</w:t>
      </w:r>
      <w:r>
        <w:rPr>
          <w:color w:val="000000"/>
          <w:sz w:val="28"/>
          <w:szCs w:val="28"/>
        </w:rPr>
        <w:t>олідоване навколо цих ідей, ми сподіваємося на згуртування міжнародної спільноти та широкої дієвої підтримки наших рішучих партнерів, як на рівні громад-побратимів, так і на рівні держав-союзників.  </w:t>
      </w:r>
    </w:p>
    <w:p w:rsidR="00FA6F53" w:rsidP="00FA6F53" w14:paraId="204CD5B1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Броварська міська рада цілковито підтримує План перемоги</w:t>
      </w:r>
      <w:r>
        <w:rPr>
          <w:color w:val="000000"/>
          <w:sz w:val="28"/>
          <w:szCs w:val="28"/>
        </w:rPr>
        <w:t>, представлений Президентом України Володимиром Зеленським.</w:t>
      </w:r>
    </w:p>
    <w:p w:rsidR="00FA6F53" w:rsidP="00FA6F53" w14:paraId="3EAEAB09" w14:textId="7777777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Від імені Броварської міської територіальної громади звертаємось до міст партнерів міста Бровари з проханням підтримати зазначене звернення та порушити клопотання перед національними урядами ваших</w:t>
      </w:r>
      <w:r>
        <w:rPr>
          <w:color w:val="000000"/>
          <w:sz w:val="28"/>
          <w:szCs w:val="28"/>
        </w:rPr>
        <w:t xml:space="preserve"> країн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 підтримку ними Плану Перемоги, представленого Президентом України Володимиром Зеленським.</w:t>
      </w:r>
    </w:p>
    <w:p w:rsidR="00FA6F53" w:rsidP="00FA6F53" w14:paraId="4DE459E7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Сподіваємося, що він буде підтриманий партнерами і повністю реалізований.</w:t>
      </w:r>
    </w:p>
    <w:p w:rsidR="00FA6F53" w:rsidP="00FA6F53" w14:paraId="4C59C065" w14:textId="77777777">
      <w:pPr>
        <w:pStyle w:val="NormalWeb"/>
        <w:spacing w:before="0" w:beforeAutospacing="0" w:after="0" w:afterAutospacing="0"/>
        <w:ind w:firstLine="2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Віримо в Перемогу!</w:t>
      </w:r>
    </w:p>
    <w:p w:rsidR="00FA6F53" w:rsidP="00FA6F53" w14:paraId="2A36B57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FA6F53" w14:paraId="0FDD4B3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panose1 w:val="02000506000000020004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panose1 w:val="02000506000000020004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76DCBF03" w14:textId="7777777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D98D33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52D045E2" w14:textId="77777777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B15E1A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fwp8mdGTeefBGxPvmLPL2LHgpXReFFdz9OpFkJgIDcU1ot1MRCDyiUeCNJlVzTuV6QGXJYaph7a8&#10;2DC26RggAw==&#10;" w:salt="fMAhPLxzpdASQw+xMmYvq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1F7FC3"/>
    <w:rsid w:val="00207BBC"/>
    <w:rsid w:val="00293F17"/>
    <w:rsid w:val="002B683A"/>
    <w:rsid w:val="002D71B2"/>
    <w:rsid w:val="003044F0"/>
    <w:rsid w:val="003530E1"/>
    <w:rsid w:val="003735BC"/>
    <w:rsid w:val="00374364"/>
    <w:rsid w:val="003A4315"/>
    <w:rsid w:val="003B2A39"/>
    <w:rsid w:val="004208DA"/>
    <w:rsid w:val="00424AD7"/>
    <w:rsid w:val="00424B54"/>
    <w:rsid w:val="00437D7D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963FA"/>
    <w:rsid w:val="007538B8"/>
    <w:rsid w:val="00774E16"/>
    <w:rsid w:val="00784598"/>
    <w:rsid w:val="007C16E3"/>
    <w:rsid w:val="007C582E"/>
    <w:rsid w:val="007C77E1"/>
    <w:rsid w:val="0081066D"/>
    <w:rsid w:val="00853C00"/>
    <w:rsid w:val="00893E2E"/>
    <w:rsid w:val="008B6EF2"/>
    <w:rsid w:val="009378D7"/>
    <w:rsid w:val="00946AC6"/>
    <w:rsid w:val="009D1EC6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DC4FD6"/>
    <w:rsid w:val="00E75D37"/>
    <w:rsid w:val="00EE06C3"/>
    <w:rsid w:val="00F1156F"/>
    <w:rsid w:val="00F13CCA"/>
    <w:rsid w:val="00F33B16"/>
    <w:rsid w:val="00FA6F5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862709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iPriority w:val="99"/>
    <w:semiHidden/>
    <w:unhideWhenUsed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0">
    <w:name w:val="Grid Table Light_0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panose1 w:val="02000506000000020004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panose1 w:val="02000506000000020004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1306"/>
    <w:rsid w:val="00213E54"/>
    <w:rsid w:val="00437D7D"/>
    <w:rsid w:val="004D1168"/>
    <w:rsid w:val="007660A4"/>
    <w:rsid w:val="00767368"/>
    <w:rsid w:val="007C77E1"/>
    <w:rsid w:val="007F7486"/>
    <w:rsid w:val="00934C4A"/>
    <w:rsid w:val="00A51DB1"/>
    <w:rsid w:val="00AE1036"/>
    <w:rsid w:val="00D20E21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2861</Words>
  <Characters>1631</Characters>
  <Application>Microsoft Office Word</Application>
  <DocSecurity>8</DocSecurity>
  <Lines>13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2023-03-27T06:26:00Z</dcterms:created>
  <dcterms:modified xsi:type="dcterms:W3CDTF">2024-10-31T14:38:00Z</dcterms:modified>
</cp:coreProperties>
</file>