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B1C0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5B1C08" w:rsidRPr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41E5B" w:rsidRPr="005313DC" w:rsidP="00E41E5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підтримки </w:t>
      </w:r>
    </w:p>
    <w:p w:rsidR="00E41E5B" w:rsidRPr="005313DC" w:rsidP="00E41E5B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Захисників і Захисниць України, членів сімей </w:t>
      </w:r>
    </w:p>
    <w:p w:rsidR="00E41E5B" w:rsidRPr="005313DC" w:rsidP="00E41E5B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загиблих на 2024- 2026 роки»</w:t>
      </w:r>
    </w:p>
    <w:p w:rsidR="00E41E5B" w:rsidRPr="005313DC" w:rsidP="00E41E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41E5B" w:rsidRPr="005313DC" w:rsidP="00E41E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E41E5B" w:rsidRPr="005313DC" w:rsidP="00E41E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41E5B" w:rsidRPr="005313DC" w:rsidP="00E41E5B">
      <w:pPr>
        <w:tabs>
          <w:tab w:val="left" w:pos="851"/>
          <w:tab w:val="left" w:pos="9356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:rsidR="00E41E5B" w:rsidP="00E41E5B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E41E5B" w:rsidRPr="005313DC" w:rsidP="00E41E5B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 матеріальної та соціальної підтримки Захисників і Захисниць України, їх сімей, родин загиблих героїв, підтримки у вирішенні ряду питань соціально – побутового та матеріального характеру є необхідність збільшення фінансування заходів Програми шляхом виділення додаткових 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оштів з місцевого бюджету та перерозподілу коштів межах заходів Програми  у розмірі </w:t>
      </w:r>
      <w:r w:rsidRPr="00E638E4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16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00</w:t>
      </w: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,0 тис. грн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., у тому числі:</w:t>
      </w:r>
    </w:p>
    <w:p w:rsidR="00E41E5B" w:rsidP="00E41E5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ч</w:t>
      </w:r>
      <w:r w:rsidRPr="00E638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асткове відшкодування витрат на поховання загиблих (померлих)  Захисників чи Захисниць України, що загинули під час участі в заходах щодо забезпечення відсічі збройної агресії російської федерації згідно положення, що затверджується в установленому порядку» викласти в новій редакції: «Часткове </w:t>
      </w:r>
      <w:r w:rsidRPr="00E638E4">
        <w:rPr>
          <w:rFonts w:ascii="Times New Roman" w:eastAsia="Times New Roman" w:hAnsi="Times New Roman" w:cs="Times New Roman"/>
          <w:sz w:val="28"/>
          <w:szCs w:val="28"/>
          <w:lang w:val="uk-UA"/>
        </w:rPr>
        <w:t>відшкодування витрат на поховання загиблих (померлих) Захисників чи Захисниць України, що загинули (померли)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стану»</w:t>
      </w:r>
      <w:r w:rsidRPr="00E638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збільшити обсяг фінансування на 25,8 тис. грн.,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перерозподіливши дані кошти із заходу Програми зазначеному в пункті 6.22;</w:t>
      </w:r>
    </w:p>
    <w:p w:rsidR="00E41E5B" w:rsidRPr="004D662C" w:rsidP="00E41E5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Pr="002E4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контузію, каліцтво), захворювання при виконанні заходів по забезпеченню відсічі збройної агресії російської федерац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ії, у розмірі 10,0 тис. грн., </w:t>
      </w:r>
      <w:r w:rsidRPr="002E4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збільшити обсяг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</w:t>
      </w:r>
      <w:r w:rsidRPr="00965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00,0 тис. грн.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перерозподіливши дані кошти із заходу Програми зазначеному в пункті 6.22</w:t>
      </w:r>
      <w:r w:rsidRPr="00965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E41E5B" w:rsidRPr="0062748D" w:rsidP="00E41E5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- </w:t>
      </w:r>
      <w:r w:rsidRPr="006274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</w:t>
      </w:r>
      <w:r w:rsidRPr="0062748D">
        <w:rPr>
          <w:rStyle w:val="fontstyle01"/>
          <w:b w:val="0"/>
          <w:lang w:val="uk-UA"/>
        </w:rPr>
        <w:t>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</w:t>
      </w:r>
      <w:r>
        <w:rPr>
          <w:rStyle w:val="fontstyle01"/>
          <w:b w:val="0"/>
          <w:lang w:val="uk-UA"/>
        </w:rPr>
        <w:t xml:space="preserve">, </w:t>
      </w:r>
      <w:r w:rsidRPr="0062748D">
        <w:rPr>
          <w:rStyle w:val="fontstyle01"/>
          <w:b w:val="0"/>
          <w:lang w:val="uk-UA"/>
        </w:rPr>
        <w:t xml:space="preserve"> зменшити обсяг </w:t>
      </w:r>
      <w:r>
        <w:rPr>
          <w:rStyle w:val="fontstyle01"/>
          <w:b w:val="0"/>
          <w:lang w:val="uk-UA"/>
        </w:rPr>
        <w:t xml:space="preserve">фінансування на </w:t>
      </w:r>
      <w:r>
        <w:rPr>
          <w:rStyle w:val="fontstyle01"/>
          <w:lang w:val="uk-UA"/>
        </w:rPr>
        <w:t xml:space="preserve">125,8 </w:t>
      </w:r>
      <w:r w:rsidRPr="00965481">
        <w:rPr>
          <w:rStyle w:val="fontstyle01"/>
          <w:lang w:val="uk-UA"/>
        </w:rPr>
        <w:t>тис. грн.</w:t>
      </w:r>
      <w:r>
        <w:rPr>
          <w:rStyle w:val="fontstyle01"/>
          <w:b w:val="0"/>
          <w:lang w:val="uk-UA"/>
        </w:rPr>
        <w:t xml:space="preserve"> перерозподіливши дані кошти на заходи Програми зазначені в пунктах 6.17 та 6.21 ;</w:t>
      </w:r>
    </w:p>
    <w:p w:rsidR="00E41E5B" w:rsidRPr="00F47C80" w:rsidP="00E41E5B">
      <w:pPr>
        <w:tabs>
          <w:tab w:val="left" w:pos="0"/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жується в установленому порядку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-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600</w:t>
      </w: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,0 тис. грн.</w:t>
      </w:r>
    </w:p>
    <w:p w:rsidR="00E41E5B" w:rsidP="00E41E5B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E41E5B" w:rsidP="00E41E5B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E41E5B" w:rsidP="00E41E5B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Метою здійснення заходів Програми є фінансова підтримка </w:t>
      </w: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Захисників і Захисниць України, які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отримали поранення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>, травму, захворювання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 xml:space="preserve"> при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виконанні заходів по забезпеченню відсічі збройної агресії російської федерації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>,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 xml:space="preserve"> 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ос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іб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, які призиваються  на військову службу по мобілізації під час дії військового стану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та</w:t>
      </w: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</w:t>
      </w:r>
      <w:r w:rsidRPr="00D033A0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членам сімей загиблих (померлих) Захисників та Захисниць України, які загинули під час участі в заходах щодо забезпечення відсічі зброй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ної агресії російської федерації.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41E5B" w:rsidRPr="00374CCF" w:rsidP="00E41E5B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Досягнення мети – виділення додаткових коштів на фінансування заход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ів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Програми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</w:p>
    <w:p w:rsidR="00E41E5B" w:rsidRPr="005313DC" w:rsidP="00E41E5B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41E5B" w:rsidRPr="005313DC" w:rsidP="00E41E5B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E41E5B" w:rsidRPr="005313DC" w:rsidP="00E41E5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21.12.2023 р. № 1438-61-08 «Про затвердження Програми підтримки Захисників і Захисниць України, членів сімей загиблих на 2024-2026 роки». </w:t>
      </w:r>
    </w:p>
    <w:p w:rsidR="00E41E5B" w:rsidRPr="005313DC" w:rsidP="00E41E5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E41E5B" w:rsidP="00E41E5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E41E5B" w:rsidP="00E41E5B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початку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2024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року за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частковим відшкодуванням витрат на поховання загиблих (померлих) Захисників чи Захисниць, що загинули </w:t>
      </w:r>
      <w:r w:rsidRPr="00BA6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 час участі в заходах щодо забезпечення відсічі збройної агресії російської федерації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звернулись 69 членів сімей загиблих Захисників України, кошторис витрат на 2024 рік складає 1030,8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тис.грн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., який передбачає виплату лише на 68 звернень, що вже створює брак коштів по даному заходу Програми : </w:t>
      </w:r>
    </w:p>
    <w:p w:rsidR="00E41E5B" w:rsidP="00E41E5B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68*15140 = 1029,5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тис.грн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41E5B" w:rsidP="00E41E5B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69*15140 =1044,6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тис.грн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.,</w:t>
      </w:r>
    </w:p>
    <w:p w:rsidR="00E41E5B" w:rsidP="00E41E5B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 15140 – це  сума п’яти прожиткових мінімумів для працездатних осіб, яка відшкодовується на поховання Захисника чи Захисниці.</w:t>
      </w:r>
    </w:p>
    <w:p w:rsidR="00E41E5B" w:rsidP="00E41E5B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Тому, відповідно до п.6.17 заходу Програми «Часткове</w:t>
      </w:r>
      <w:r w:rsidRPr="001544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відшкодування витрат на поховання загиблих (померлих)  Захисників чи Захисниць України, що загинули під час участі в заходах щодо забезпечення відсічі збройної агресії російської федерації згідно положення, що затверджується в установленому порядку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 </w:t>
      </w:r>
      <w:r w:rsidRPr="001544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пропонується збільшити обсяг фінансування 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25,8</w:t>
      </w:r>
      <w:r w:rsidRPr="00154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тис. грн.</w:t>
      </w:r>
      <w:r w:rsidRPr="001544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1055,8</w:t>
      </w:r>
      <w:r w:rsidRPr="00154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тис.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154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грн.</w:t>
      </w:r>
    </w:p>
    <w:p w:rsidR="00E41E5B" w:rsidP="00E41E5B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4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 також враховуючи рішення виконавчого комітету Броварської міської ради Броварського району Київської області від 08.10.2024 № 1006, пропонується пункт 6.17 заходу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 викласти в наступній редакції</w:t>
      </w:r>
      <w:r w:rsidRPr="00F54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«</w:t>
      </w:r>
      <w:r w:rsidRPr="00F5475A">
        <w:rPr>
          <w:rFonts w:ascii="Times New Roman" w:eastAsia="Times New Roman" w:hAnsi="Times New Roman" w:cs="Times New Roman"/>
          <w:sz w:val="28"/>
          <w:szCs w:val="28"/>
          <w:lang w:val="uk-UA"/>
        </w:rPr>
        <w:t>Часткове відшкодування витрат на поховання загиблих (померлих) Захисників чи Захисниць України, що загинули (померли)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41E5B" w:rsidRPr="00F45EA7" w:rsidP="00E41E5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Станом на початок жовтня 2024 року на обліку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 управлінні соціального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захисту населення перебуває 187 родин загиблих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Захисників чи Захисниць 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України. Відповідно до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6.20. заходу Програми «Надання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вирішення соціальн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о-побутових питань (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тому числі, на встановлення або відшкодування за встановлення надгробного пам'ятника) у розмірі 50,0 тис. 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тримали одноразову допомогу 167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членів сімей загиблих, в тому числі 67 в поточному році. На 09</w:t>
      </w:r>
      <w:r w:rsidRPr="00160E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.10.2024 існує потреба у виплаті ще 20 родинам загиблих героїв.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Pr="00160E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Додатково 3 родини перебувають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стадії отримання статусу, що збільшить потребу по</w:t>
      </w:r>
      <w:r w:rsidRPr="00160E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даній виплаті)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Тому,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виконання заходу, передбаченого п.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6.20. Програми «Надання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 соціально-побутових питань (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тому числі, на встановлення або відшкодування за встановлення надгробного пам'ятника) у розмірі 50,0 тис. грн.»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1000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,0 тис. грн.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4350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,0 тис. грн. </w:t>
      </w:r>
    </w:p>
    <w:p w:rsidR="00E41E5B" w:rsidP="00E41E5B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початку року за н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аданням грошової допомоги на лікування та реабілітацію, в тому числі психологічну адаптацію, Захисникам і Захисницям України, які отримали поранення </w:t>
      </w:r>
      <w:r w:rsidRPr="00D4731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(травму, контузію, каліцтво), захворювання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при виконанні заходів по забезпеченню  відсічі збройної агресії російської федерації, у розмірі 10,0 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с. грн. звернулась 451 особа. Залишок кошторисних призначень становить 340,0 тис. грн. (в розрахунку на 34 звернень). Враховуючи тенденцію попереднього місяця встановлено, що в середньому надходить 40-50 звернень на місяць, т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ому пропонується 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збільшити обсяг фінансування на захід Програми  «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D4731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(травму, контузію, каліцтво), захворювання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при виконанні заходів по забезпеченню  відсічі збройної агресії російської федерації, у розмірі 10,0 тис.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грн.»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100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 тис. грн.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0A03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шляхом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перерозподілу коштів в межах П</w:t>
      </w:r>
      <w:r w:rsidRPr="000A03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рограми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 заходу, необхідного для реалізації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заходу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4950,0 тис. 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грн.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</w:p>
    <w:p w:rsidR="00E41E5B" w:rsidRPr="00245CEC" w:rsidP="00E41E5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метою ефективного використання коштів передбачених на виконання заходів Програми пропонується зменшити фінансування заходу зазначеного в п.6.22  </w:t>
      </w:r>
      <w:r w:rsidRPr="00B13C82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B13C82">
        <w:rPr>
          <w:rStyle w:val="fontstyle01"/>
          <w:b w:val="0"/>
          <w:lang w:val="uk-UA"/>
        </w:rPr>
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порядку»</w:t>
      </w:r>
      <w:r>
        <w:rPr>
          <w:rStyle w:val="fontstyle01"/>
          <w:b w:val="0"/>
          <w:lang w:val="uk-UA"/>
        </w:rPr>
        <w:t xml:space="preserve"> на </w:t>
      </w:r>
      <w:r>
        <w:rPr>
          <w:rStyle w:val="fontstyle01"/>
          <w:lang w:val="uk-UA"/>
        </w:rPr>
        <w:t xml:space="preserve">125,8 </w:t>
      </w:r>
      <w:r w:rsidRPr="00A57F1E">
        <w:rPr>
          <w:rStyle w:val="fontstyle01"/>
          <w:lang w:val="uk-UA"/>
        </w:rPr>
        <w:t>тис.</w:t>
      </w:r>
      <w:r>
        <w:rPr>
          <w:rStyle w:val="fontstyle01"/>
          <w:lang w:val="uk-UA"/>
        </w:rPr>
        <w:t xml:space="preserve"> </w:t>
      </w:r>
      <w:r w:rsidRPr="00A57F1E">
        <w:rPr>
          <w:rStyle w:val="fontstyle01"/>
          <w:lang w:val="uk-UA"/>
        </w:rPr>
        <w:t xml:space="preserve">грн. </w:t>
      </w:r>
      <w:r w:rsidRPr="00B13C82">
        <w:rPr>
          <w:rStyle w:val="fontstyle01"/>
          <w:b w:val="0"/>
          <w:lang w:val="uk-UA"/>
        </w:rPr>
        <w:t>пере</w:t>
      </w:r>
      <w:r>
        <w:rPr>
          <w:rStyle w:val="fontstyle01"/>
          <w:b w:val="0"/>
          <w:lang w:val="uk-UA"/>
        </w:rPr>
        <w:t>розподіливши дані кошти на заходи Програми зазначені в пунктах 6.17</w:t>
      </w:r>
      <w:r w:rsidRPr="00B13C82">
        <w:rPr>
          <w:rStyle w:val="fontstyle01"/>
          <w:b w:val="0"/>
          <w:lang w:val="uk-UA"/>
        </w:rPr>
        <w:t xml:space="preserve"> </w:t>
      </w:r>
      <w:r>
        <w:rPr>
          <w:rStyle w:val="fontstyle01"/>
          <w:b w:val="0"/>
          <w:lang w:val="uk-UA"/>
        </w:rPr>
        <w:t xml:space="preserve"> та </w:t>
      </w:r>
      <w:r w:rsidRPr="00B13C82">
        <w:rPr>
          <w:rStyle w:val="fontstyle01"/>
          <w:b w:val="0"/>
          <w:lang w:val="uk-UA"/>
        </w:rPr>
        <w:t>6.21</w:t>
      </w:r>
      <w:r>
        <w:rPr>
          <w:rStyle w:val="fontstyle01"/>
          <w:b w:val="0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встановивши</w:t>
      </w:r>
      <w:r w:rsidRPr="00A57F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загальний обсяг фінансування заходу, необхідного для реалізації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заходу </w:t>
      </w:r>
      <w:r w:rsidRPr="00A57F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Програми на 2024 рік 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74,2</w:t>
      </w:r>
      <w:r w:rsidRPr="00957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тис. грн.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245C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Загалом за 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рік часткове відшкодування вартості вищевказаної послуги отримали 19 військовослужбовців на суму 24,4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тис.грн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41E5B" w:rsidP="00E41E5B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початку року за н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аданням грошової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одноразової матеріальної допомоги особам, які призиваються  на військову службу по мобілізації під час дії військового стану, у розмірі 10,0 тис. грн. з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вернулося  400 осіб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 Сума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виплаченої  допомоги становить 3900,0 тис. грн., що вже створює брак коштів по даній виплаті.  Станом на 09.10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.2024 року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алишок кошторисних призначень становить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0,0 тис. грн. Враховуючи посилення мобілізаційних заходів,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кількість звернень за одноразовою матеріаль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ною допомогою постійно збільшується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тому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заходу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Програми «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Надання одноразової матеріальної допомоги особам, які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призиваються  на військову службу по мобілізації під час дії військового стану, у розмірі 10,0 тис. грн. згідно положення, що затверджується в установленому порядку»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 600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 тис. грн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4500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 тис. грн.</w:t>
      </w:r>
    </w:p>
    <w:p w:rsidR="00E41E5B" w:rsidRPr="005313DC" w:rsidP="00E41E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/>
        </w:rPr>
      </w:pPr>
    </w:p>
    <w:p w:rsidR="00E41E5B" w:rsidRPr="005313DC" w:rsidP="00E41E5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яг фінансування Програми на 2024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рік становитиме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21665,4</w:t>
      </w: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:rsidR="00E41E5B" w:rsidRPr="005313DC" w:rsidP="00E41E5B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 w:eastAsia="en-US"/>
        </w:rPr>
      </w:pPr>
    </w:p>
    <w:p w:rsidR="00E41E5B" w:rsidRPr="005313DC" w:rsidP="00E41E5B">
      <w:pPr>
        <w:numPr>
          <w:ilvl w:val="0"/>
          <w:numId w:val="2"/>
        </w:numPr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E41E5B" w:rsidP="00E41E5B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Виділення додаткових коштів на заходи Програми забезпечить підтримку Захисників і Захисниць України, їх сімей, родин загиблих героїв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Броварської міської територіальної громади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вирішенні ряду питань соціально – побутового та матеріального характеру.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</w:p>
    <w:p w:rsidR="00E41E5B" w:rsidRPr="005313DC" w:rsidP="00E41E5B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E41E5B" w:rsidRPr="005313DC" w:rsidP="00E41E5B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</w:p>
    <w:p w:rsidR="00E41E5B" w:rsidRPr="005313DC" w:rsidP="00E41E5B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E41E5B" w:rsidRPr="005313DC" w:rsidP="00E41E5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E41E5B" w:rsidRPr="005313DC" w:rsidP="00E41E5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Доповідач: 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виконуюча обов’язки начальника управління-заступник начальника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(контактний телефон 6-14-37).</w:t>
      </w:r>
    </w:p>
    <w:p w:rsidR="00E41E5B" w:rsidRPr="005313DC" w:rsidP="00E41E5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</w:t>
      </w:r>
    </w:p>
    <w:p w:rsidR="00E41E5B" w:rsidRPr="005313DC" w:rsidP="00E41E5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E41E5B" w:rsidP="00E41E5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    (контактний телефон 045-94-44-604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).</w:t>
      </w:r>
      <w:bookmarkStart w:id="0" w:name="_GoBack"/>
      <w:bookmarkEnd w:id="0"/>
    </w:p>
    <w:p w:rsidR="00E41E5B" w:rsidP="00E41E5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E41E5B" w:rsidP="00E41E5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E41E5B" w:rsidP="00E41E5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E41E5B" w:rsidP="00E41E5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E41E5B" w:rsidRPr="00C418D7" w:rsidP="00E41E5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tbl>
      <w:tblPr>
        <w:tblStyle w:val="TableGrid"/>
        <w:tblW w:w="9615" w:type="dxa"/>
        <w:jc w:val="center"/>
        <w:tblLayout w:type="fixed"/>
        <w:tblLook w:val="04A0"/>
      </w:tblPr>
      <w:tblGrid>
        <w:gridCol w:w="1265"/>
        <w:gridCol w:w="3672"/>
        <w:gridCol w:w="1430"/>
        <w:gridCol w:w="1559"/>
        <w:gridCol w:w="1689"/>
      </w:tblGrid>
      <w:tr w:rsidTr="00906D4C">
        <w:tblPrEx>
          <w:tblW w:w="9615" w:type="dxa"/>
          <w:jc w:val="center"/>
          <w:tblLayout w:type="fixed"/>
          <w:tblLook w:val="04A0"/>
        </w:tblPrEx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Tr="00906D4C">
        <w:tblPrEx>
          <w:tblW w:w="9615" w:type="dxa"/>
          <w:jc w:val="center"/>
          <w:tblLayout w:type="fixed"/>
          <w:tblLook w:val="04A0"/>
        </w:tblPrEx>
        <w:trPr>
          <w:jc w:val="center"/>
        </w:trPr>
        <w:tc>
          <w:tcPr>
            <w:tcW w:w="1265" w:type="dxa"/>
            <w:vMerge/>
          </w:tcPr>
          <w:p w:rsidR="00E41E5B" w:rsidRPr="005313DC" w:rsidP="00906D4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E41E5B" w:rsidRPr="005313DC" w:rsidP="00906D4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Tr="00906D4C">
        <w:tblPrEx>
          <w:tblW w:w="9615" w:type="dxa"/>
          <w:jc w:val="center"/>
          <w:tblLayout w:type="fixed"/>
          <w:tblLook w:val="04A0"/>
        </w:tblPrEx>
        <w:trPr>
          <w:trHeight w:val="1012"/>
          <w:jc w:val="center"/>
        </w:trPr>
        <w:tc>
          <w:tcPr>
            <w:tcW w:w="1265" w:type="dxa"/>
            <w:hideMark/>
          </w:tcPr>
          <w:p w:rsidR="00E41E5B" w:rsidRPr="005313DC" w:rsidP="00906D4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2" w:type="dxa"/>
          </w:tcPr>
          <w:p w:rsidR="00E41E5B" w:rsidRPr="00767EC8" w:rsidP="00906D4C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67E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Pr="00767E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6.17 «Часткове </w:t>
            </w:r>
            <w:r w:rsidRPr="00767E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відшкодування витрат на поховання загиблих (померлих) Захисників чи Захисниць України, що загинули (померли)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стану»</w:t>
            </w:r>
          </w:p>
        </w:tc>
        <w:tc>
          <w:tcPr>
            <w:tcW w:w="1430" w:type="dxa"/>
            <w:vAlign w:val="center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1030,0</w:t>
            </w:r>
          </w:p>
        </w:tc>
        <w:tc>
          <w:tcPr>
            <w:tcW w:w="1559" w:type="dxa"/>
            <w:vAlign w:val="center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+25,8</w:t>
            </w:r>
          </w:p>
        </w:tc>
        <w:tc>
          <w:tcPr>
            <w:tcW w:w="1689" w:type="dxa"/>
            <w:vAlign w:val="center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1055,8</w:t>
            </w:r>
          </w:p>
        </w:tc>
      </w:tr>
      <w:tr w:rsidTr="00906D4C">
        <w:tblPrEx>
          <w:tblW w:w="9615" w:type="dxa"/>
          <w:jc w:val="center"/>
          <w:tblLayout w:type="fixed"/>
          <w:tblLook w:val="04A0"/>
        </w:tblPrEx>
        <w:trPr>
          <w:trHeight w:val="2760"/>
          <w:jc w:val="center"/>
        </w:trPr>
        <w:tc>
          <w:tcPr>
            <w:tcW w:w="1265" w:type="dxa"/>
          </w:tcPr>
          <w:p w:rsidR="00E41E5B" w:rsidRPr="005313DC" w:rsidP="00906D4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2" w:type="dxa"/>
          </w:tcPr>
          <w:p w:rsidR="00E41E5B" w:rsidRPr="00767EC8" w:rsidP="00906D4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E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п.6.20 «Надання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вирішення соціально-побутових питань ( в тому числі, на встановлення або відшкодування за встановлення надгробного пам'ятника) у розмірі 50,0 тис. грн.»</w:t>
            </w:r>
          </w:p>
        </w:tc>
        <w:tc>
          <w:tcPr>
            <w:tcW w:w="1430" w:type="dxa"/>
            <w:vAlign w:val="center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3350,0</w:t>
            </w:r>
          </w:p>
        </w:tc>
        <w:tc>
          <w:tcPr>
            <w:tcW w:w="1559" w:type="dxa"/>
            <w:vAlign w:val="center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+1000,0</w:t>
            </w:r>
          </w:p>
        </w:tc>
        <w:tc>
          <w:tcPr>
            <w:tcW w:w="1689" w:type="dxa"/>
            <w:vAlign w:val="center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4350,0</w:t>
            </w:r>
          </w:p>
        </w:tc>
      </w:tr>
      <w:tr w:rsidTr="00906D4C">
        <w:tblPrEx>
          <w:tblW w:w="9615" w:type="dxa"/>
          <w:jc w:val="center"/>
          <w:tblLayout w:type="fixed"/>
          <w:tblLook w:val="04A0"/>
        </w:tblPrEx>
        <w:trPr>
          <w:trHeight w:val="2610"/>
          <w:jc w:val="center"/>
        </w:trPr>
        <w:tc>
          <w:tcPr>
            <w:tcW w:w="1265" w:type="dxa"/>
          </w:tcPr>
          <w:p w:rsidR="00E41E5B" w:rsidRPr="005313DC" w:rsidP="00906D4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72" w:type="dxa"/>
          </w:tcPr>
          <w:p w:rsidR="00E41E5B" w:rsidRPr="00767EC8" w:rsidP="00906D4C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6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6.22 «</w:t>
            </w:r>
            <w:r w:rsidRPr="00767E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порядку»</w:t>
            </w:r>
          </w:p>
        </w:tc>
        <w:tc>
          <w:tcPr>
            <w:tcW w:w="1430" w:type="dxa"/>
            <w:vAlign w:val="center"/>
          </w:tcPr>
          <w:p w:rsidR="00E41E5B" w:rsidRPr="009A385E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559" w:type="dxa"/>
            <w:vAlign w:val="center"/>
          </w:tcPr>
          <w:p w:rsidR="00E41E5B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-125,8</w:t>
            </w:r>
          </w:p>
        </w:tc>
        <w:tc>
          <w:tcPr>
            <w:tcW w:w="1689" w:type="dxa"/>
            <w:vAlign w:val="center"/>
          </w:tcPr>
          <w:p w:rsidR="00E41E5B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74,2</w:t>
            </w:r>
          </w:p>
        </w:tc>
      </w:tr>
      <w:tr w:rsidTr="00906D4C">
        <w:tblPrEx>
          <w:tblW w:w="9615" w:type="dxa"/>
          <w:jc w:val="center"/>
          <w:tblLayout w:type="fixed"/>
          <w:tblLook w:val="04A0"/>
        </w:tblPrEx>
        <w:trPr>
          <w:trHeight w:val="912"/>
          <w:jc w:val="center"/>
        </w:trPr>
        <w:tc>
          <w:tcPr>
            <w:tcW w:w="1265" w:type="dxa"/>
          </w:tcPr>
          <w:p w:rsidR="00E41E5B" w:rsidP="00906D4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E41E5B" w:rsidRPr="00767EC8" w:rsidP="00906D4C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767E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п. 6.21 «Надання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контузію, каліцтво), захворювання при виконанні заходів по забезпеченню відсічі збройної агресії російської федерації, у розмірі 10,0 тис. грн.»</w:t>
            </w:r>
          </w:p>
        </w:tc>
        <w:tc>
          <w:tcPr>
            <w:tcW w:w="1430" w:type="dxa"/>
            <w:vAlign w:val="center"/>
          </w:tcPr>
          <w:p w:rsidR="00E41E5B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4850,0</w:t>
            </w:r>
          </w:p>
        </w:tc>
        <w:tc>
          <w:tcPr>
            <w:tcW w:w="1559" w:type="dxa"/>
            <w:vAlign w:val="center"/>
          </w:tcPr>
          <w:p w:rsidR="00E41E5B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+100,0</w:t>
            </w:r>
          </w:p>
        </w:tc>
        <w:tc>
          <w:tcPr>
            <w:tcW w:w="1689" w:type="dxa"/>
            <w:vAlign w:val="center"/>
          </w:tcPr>
          <w:p w:rsidR="00E41E5B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4950,0</w:t>
            </w:r>
          </w:p>
        </w:tc>
      </w:tr>
      <w:tr w:rsidTr="00906D4C">
        <w:tblPrEx>
          <w:tblW w:w="9615" w:type="dxa"/>
          <w:jc w:val="center"/>
          <w:tblLayout w:type="fixed"/>
          <w:tblLook w:val="04A0"/>
        </w:tblPrEx>
        <w:trPr>
          <w:trHeight w:val="1012"/>
          <w:jc w:val="center"/>
        </w:trPr>
        <w:tc>
          <w:tcPr>
            <w:tcW w:w="1265" w:type="dxa"/>
          </w:tcPr>
          <w:p w:rsidR="00E41E5B" w:rsidRPr="005313DC" w:rsidP="00906D4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72" w:type="dxa"/>
          </w:tcPr>
          <w:p w:rsidR="00E41E5B" w:rsidRPr="00767EC8" w:rsidP="00906D4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7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п.6.28. «</w:t>
            </w:r>
            <w:r w:rsidRPr="00767E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затверджується в установленому порядку»</w:t>
            </w:r>
          </w:p>
        </w:tc>
        <w:tc>
          <w:tcPr>
            <w:tcW w:w="1430" w:type="dxa"/>
            <w:vAlign w:val="center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3900,0</w:t>
            </w:r>
          </w:p>
        </w:tc>
        <w:tc>
          <w:tcPr>
            <w:tcW w:w="1559" w:type="dxa"/>
            <w:vAlign w:val="center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+6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689" w:type="dxa"/>
            <w:vAlign w:val="center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</w:t>
            </w:r>
          </w:p>
        </w:tc>
      </w:tr>
      <w:tr w:rsidTr="00906D4C">
        <w:tblPrEx>
          <w:tblW w:w="9615" w:type="dxa"/>
          <w:jc w:val="center"/>
          <w:tblLayout w:type="fixed"/>
          <w:tblLook w:val="04A0"/>
        </w:tblPrEx>
        <w:trPr>
          <w:trHeight w:val="265"/>
          <w:jc w:val="center"/>
        </w:trPr>
        <w:tc>
          <w:tcPr>
            <w:tcW w:w="1265" w:type="dxa"/>
          </w:tcPr>
          <w:p w:rsidR="00E41E5B" w:rsidRPr="005313DC" w:rsidP="00906D4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E41E5B" w:rsidRPr="005313DC" w:rsidP="00906D4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20065,4</w:t>
            </w:r>
          </w:p>
        </w:tc>
        <w:tc>
          <w:tcPr>
            <w:tcW w:w="1559" w:type="dxa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1600,0</w:t>
            </w:r>
          </w:p>
        </w:tc>
        <w:tc>
          <w:tcPr>
            <w:tcW w:w="1689" w:type="dxa"/>
          </w:tcPr>
          <w:p w:rsidR="00E41E5B" w:rsidRPr="005313DC" w:rsidP="00906D4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21665,4</w:t>
            </w:r>
          </w:p>
        </w:tc>
      </w:tr>
    </w:tbl>
    <w:p w:rsidR="00E41E5B" w:rsidRPr="005313DC" w:rsidP="00E41E5B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E41E5B" w:rsidP="00E41E5B">
      <w:pPr>
        <w:spacing w:after="80" w:line="240" w:lineRule="auto"/>
        <w:ind w:left="-142"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В.о начальника управління – </w:t>
      </w:r>
    </w:p>
    <w:p w:rsidR="00E41E5B" w:rsidRPr="005313DC" w:rsidP="00E41E5B">
      <w:pPr>
        <w:tabs>
          <w:tab w:val="left" w:pos="6379"/>
          <w:tab w:val="left" w:pos="6804"/>
        </w:tabs>
        <w:spacing w:after="80" w:line="240" w:lineRule="auto"/>
        <w:ind w:left="-142" w:right="-1"/>
        <w:jc w:val="both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заступник начальника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  <w:t>Тетяна КАШТАНЮК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</w:p>
    <w:p w:rsidR="00E41E5B" w:rsidRPr="005313DC" w:rsidP="00E41E5B">
      <w:pPr>
        <w:spacing w:after="80" w:line="240" w:lineRule="auto"/>
        <w:ind w:right="-1"/>
        <w:jc w:val="both"/>
        <w:rPr>
          <w:rFonts w:ascii="Calibri" w:eastAsia="Calibri" w:hAnsi="Calibri" w:cs="Times New Roman"/>
          <w:lang w:eastAsia="en-US"/>
        </w:rPr>
      </w:pPr>
    </w:p>
    <w:p w:rsidR="00E41E5B" w:rsidRPr="005B1C08" w:rsidP="00E41E5B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B7D79" w:rsidRPr="00244FF9" w:rsidP="00E41E5B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DA34EC"/>
    <w:multiLevelType w:val="hybridMultilevel"/>
    <w:tmpl w:val="B22AAAF2"/>
    <w:lvl w:ilvl="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9" w:hanging="360"/>
      </w:pPr>
    </w:lvl>
    <w:lvl w:ilvl="2" w:tentative="1">
      <w:start w:val="1"/>
      <w:numFmt w:val="lowerRoman"/>
      <w:lvlText w:val="%3."/>
      <w:lvlJc w:val="right"/>
      <w:pPr>
        <w:ind w:left="1869" w:hanging="180"/>
      </w:pPr>
    </w:lvl>
    <w:lvl w:ilvl="3" w:tentative="1">
      <w:start w:val="1"/>
      <w:numFmt w:val="decimal"/>
      <w:lvlText w:val="%4."/>
      <w:lvlJc w:val="left"/>
      <w:pPr>
        <w:ind w:left="2589" w:hanging="360"/>
      </w:pPr>
    </w:lvl>
    <w:lvl w:ilvl="4" w:tentative="1">
      <w:start w:val="1"/>
      <w:numFmt w:val="lowerLetter"/>
      <w:lvlText w:val="%5."/>
      <w:lvlJc w:val="left"/>
      <w:pPr>
        <w:ind w:left="3309" w:hanging="360"/>
      </w:pPr>
    </w:lvl>
    <w:lvl w:ilvl="5" w:tentative="1">
      <w:start w:val="1"/>
      <w:numFmt w:val="lowerRoman"/>
      <w:lvlText w:val="%6."/>
      <w:lvlJc w:val="right"/>
      <w:pPr>
        <w:ind w:left="4029" w:hanging="180"/>
      </w:pPr>
    </w:lvl>
    <w:lvl w:ilvl="6" w:tentative="1">
      <w:start w:val="1"/>
      <w:numFmt w:val="decimal"/>
      <w:lvlText w:val="%7."/>
      <w:lvlJc w:val="left"/>
      <w:pPr>
        <w:ind w:left="4749" w:hanging="360"/>
      </w:pPr>
    </w:lvl>
    <w:lvl w:ilvl="7" w:tentative="1">
      <w:start w:val="1"/>
      <w:numFmt w:val="lowerLetter"/>
      <w:lvlText w:val="%8."/>
      <w:lvlJc w:val="left"/>
      <w:pPr>
        <w:ind w:left="5469" w:hanging="360"/>
      </w:pPr>
    </w:lvl>
    <w:lvl w:ilvl="8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A03B4"/>
    <w:rsid w:val="00126B69"/>
    <w:rsid w:val="0015449C"/>
    <w:rsid w:val="00160E7A"/>
    <w:rsid w:val="001A3FF0"/>
    <w:rsid w:val="00244FF9"/>
    <w:rsid w:val="00245CEC"/>
    <w:rsid w:val="002B683A"/>
    <w:rsid w:val="002E4FA6"/>
    <w:rsid w:val="003613A9"/>
    <w:rsid w:val="00361CD8"/>
    <w:rsid w:val="00374364"/>
    <w:rsid w:val="00374CCF"/>
    <w:rsid w:val="004D662C"/>
    <w:rsid w:val="00525C68"/>
    <w:rsid w:val="005313DC"/>
    <w:rsid w:val="005B1C08"/>
    <w:rsid w:val="005F334B"/>
    <w:rsid w:val="0062748D"/>
    <w:rsid w:val="006963FA"/>
    <w:rsid w:val="00696599"/>
    <w:rsid w:val="006C396C"/>
    <w:rsid w:val="0074644B"/>
    <w:rsid w:val="00767EC8"/>
    <w:rsid w:val="007E7FBA"/>
    <w:rsid w:val="00827775"/>
    <w:rsid w:val="00881846"/>
    <w:rsid w:val="00906D4C"/>
    <w:rsid w:val="00957407"/>
    <w:rsid w:val="00965481"/>
    <w:rsid w:val="009A385E"/>
    <w:rsid w:val="009B7D79"/>
    <w:rsid w:val="009C0EEF"/>
    <w:rsid w:val="009D1EC6"/>
    <w:rsid w:val="00A218AE"/>
    <w:rsid w:val="00A57F1E"/>
    <w:rsid w:val="00B13C82"/>
    <w:rsid w:val="00B35D4C"/>
    <w:rsid w:val="00B46089"/>
    <w:rsid w:val="00B80167"/>
    <w:rsid w:val="00BA6D1C"/>
    <w:rsid w:val="00BF6942"/>
    <w:rsid w:val="00C418D7"/>
    <w:rsid w:val="00D033A0"/>
    <w:rsid w:val="00D4731C"/>
    <w:rsid w:val="00D5049E"/>
    <w:rsid w:val="00D92C45"/>
    <w:rsid w:val="00DC4FD6"/>
    <w:rsid w:val="00DD7BFD"/>
    <w:rsid w:val="00E41E5B"/>
    <w:rsid w:val="00E638E4"/>
    <w:rsid w:val="00F45EA7"/>
    <w:rsid w:val="00F47C80"/>
    <w:rsid w:val="00F5475A"/>
    <w:rsid w:val="00FC33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Strong">
    <w:name w:val="Strong"/>
    <w:basedOn w:val="DefaultParagraphFont"/>
    <w:uiPriority w:val="22"/>
    <w:qFormat/>
    <w:rsid w:val="005B1C08"/>
    <w:rPr>
      <w:b/>
      <w:bCs/>
    </w:rPr>
  </w:style>
  <w:style w:type="table" w:styleId="TableGrid">
    <w:name w:val="Table Grid"/>
    <w:basedOn w:val="TableNormal"/>
    <w:uiPriority w:val="59"/>
    <w:rsid w:val="00E41E5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E41E5B"/>
    <w:rPr>
      <w:rFonts w:ascii="Times New Roman" w:hAnsi="Times New Roman"/>
      <w:b/>
      <w:bCs/>
      <w:color w:val="000000"/>
      <w:sz w:val="28"/>
      <w:szCs w:val="28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val="uk-UA"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7714</Words>
  <Characters>4398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15</cp:revision>
  <dcterms:created xsi:type="dcterms:W3CDTF">2021-03-03T14:03:00Z</dcterms:created>
  <dcterms:modified xsi:type="dcterms:W3CDTF">2024-10-10T07:21:00Z</dcterms:modified>
</cp:coreProperties>
</file>