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0448" w14:textId="77777777" w:rsidR="00A577EA" w:rsidRPr="00A577EA" w:rsidRDefault="00A577EA" w:rsidP="00A577EA">
      <w:pPr>
        <w:spacing w:after="0"/>
        <w:ind w:left="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71150586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проект</w:t>
      </w:r>
      <w:r w:rsidR="00B17F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рішення "Про внесення змін в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одаток </w:t>
      </w:r>
    </w:p>
    <w:p w14:paraId="34E4C2AA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Броварського району Київської області на 2022-2026 роки"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28F38996" w:rsidR="00505185" w:rsidRPr="00A577EA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додаткового фінансування 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жовтень-листопад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A577EA">
        <w:rPr>
          <w:rFonts w:ascii="Times New Roman" w:eastAsia="Times New Roman" w:hAnsi="Times New Roman" w:cs="Times New Roman"/>
          <w:sz w:val="28"/>
          <w:szCs w:val="28"/>
        </w:rPr>
        <w:t>розмірі</w:t>
      </w:r>
      <w:proofErr w:type="spellEnd"/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00 000,00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6672560" w14:textId="2E985350" w:rsidR="00505185" w:rsidRPr="00A577EA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сумі 370 000 грн.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 та нарахуванню по заробітній платі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630 000 грн..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0415D143" w14:textId="24C0F31D" w:rsidR="007A69E8" w:rsidRPr="00B721EC" w:rsidRDefault="00505185" w:rsidP="007A6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7390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  <w:t xml:space="preserve">        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7A69E8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зв’язку з відсутністю потреби у закупівлі генератора</w:t>
      </w:r>
      <w:r w:rsidR="00540128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7A69E8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вирішення проблемних питань у роботі підприємства, </w:t>
      </w:r>
      <w:r w:rsidR="0045169A" w:rsidRPr="00B721EC">
        <w:rPr>
          <w:rFonts w:ascii="Times New Roman" w:eastAsia="Times New Roman" w:hAnsi="Times New Roman" w:cs="Times New Roman"/>
          <w:sz w:val="28"/>
          <w:szCs w:val="28"/>
          <w:lang w:val="uk-UA"/>
        </w:rPr>
        <w:t>недопущення антисанітарних умов у великий та малій ваннах</w:t>
      </w:r>
      <w:r w:rsidR="007A69E8" w:rsidRPr="00B721EC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D9E4063" w14:textId="5CDB2764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КЕКВ 3210 «Капітальні трансферти підприємствам (установам, організаціям)» зменшити план використання на  800 000 грн.;</w:t>
      </w:r>
    </w:p>
    <w:p w14:paraId="5B18CF6F" w14:textId="14E6F171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КЕКВ 2610 «Субсидії та поточні трансферти підприємствам (установам, організаціям)» збільшити план використання на 800 000 грн. та направити на:</w:t>
      </w:r>
    </w:p>
    <w:p w14:paraId="61DABB60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290 000 грн. – придбання блоків для електролізних установок 3 шт.;</w:t>
      </w:r>
    </w:p>
    <w:p w14:paraId="1F533ADA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80 000 грн. – послуга з проведення експертизи газових котлів потужністю до 300 кВт 4 шт.;</w:t>
      </w:r>
    </w:p>
    <w:p w14:paraId="57058307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150 000 грн. – послуга з встановлення генератора;</w:t>
      </w:r>
    </w:p>
    <w:p w14:paraId="0980887A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35 000 грн. – заміна контролерів вентиляційної системи;</w:t>
      </w:r>
    </w:p>
    <w:p w14:paraId="23005723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31 400 грн. – модуль решітки </w:t>
      </w:r>
      <w:proofErr w:type="spellStart"/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перелива</w:t>
      </w:r>
      <w:proofErr w:type="spellEnd"/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52 см;</w:t>
      </w:r>
    </w:p>
    <w:p w14:paraId="5F1B90A3" w14:textId="0925D195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72 000 грн. – поточний ремонт насосного обладнання;</w:t>
      </w:r>
    </w:p>
    <w:p w14:paraId="3F889C86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80 100 грн. – придбання фільтруючого елемента (очищення води у басейнах) (кварцовий пісок);</w:t>
      </w:r>
    </w:p>
    <w:p w14:paraId="76E99C50" w14:textId="77777777" w:rsidR="009F7390" w:rsidRPr="00B721EC" w:rsidRDefault="009F7390" w:rsidP="009F7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61 500 грн. – заміна та встановлення камер відео нагляду.</w:t>
      </w:r>
    </w:p>
    <w:p w14:paraId="21CF0276" w14:textId="77777777" w:rsidR="009F7390" w:rsidRPr="00B721EC" w:rsidRDefault="009F7390" w:rsidP="007A6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D57656F" w14:textId="1A268C80" w:rsidR="009F7390" w:rsidRPr="00B721EC" w:rsidRDefault="009F7390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3E8C013" w14:textId="231D6DE0" w:rsidR="00B721EC" w:rsidRPr="00B721EC" w:rsidRDefault="00B721EC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B0CDD1A" w14:textId="77777777" w:rsidR="00B721EC" w:rsidRPr="00B721EC" w:rsidRDefault="00B721EC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3210009A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створення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санітарних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оздоровлення та реабілітації мешканців територіальної громади; </w:t>
      </w:r>
      <w:r w:rsidR="004516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недопущення зупинки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обладнання та його зіпсування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створення оптимальних умов для безпечного та ефективного перебування  його відвідувачів</w:t>
      </w:r>
      <w:r w:rsidR="00167B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1D3D3A8A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санітарних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умов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оздоровлення та реабілітації мешканців територіальної громади; 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зупинки обладнання та його зіпсування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створення оптимальних умов для безпечного та ефективного перебування  його відвідувачі</w:t>
      </w:r>
      <w:r w:rsidR="005E140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167B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  <w:r w:rsidR="00167B3A" w:rsidRPr="00167B3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505185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1 0</w:t>
      </w:r>
      <w:r w:rsidR="00B2395E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7D5BA91B" w14:textId="617E3846" w:rsidR="00A577EA" w:rsidRPr="00B721EC" w:rsidRDefault="005E140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зупинки обладнання та його зіпсування</w:t>
      </w:r>
      <w:r w:rsidR="00E718F1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</w:t>
      </w:r>
      <w:proofErr w:type="spellEnd"/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77D9B681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 Броварської міської ради Броварського району Київської області «Оздоровчо-реабілітаційний центр» 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28EA0FEF" w14:textId="36721892" w:rsidR="00167B3A" w:rsidRDefault="00167B3A" w:rsidP="00B17F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255D39" w14:textId="7E7638C8" w:rsidR="00167B3A" w:rsidRDefault="00167B3A" w:rsidP="00A5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6D5223" w14:textId="77777777" w:rsidR="00167B3A" w:rsidRPr="00777E02" w:rsidRDefault="00167B3A" w:rsidP="00A577E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2052"/>
        <w:gridCol w:w="1501"/>
        <w:gridCol w:w="1365"/>
        <w:gridCol w:w="1754"/>
      </w:tblGrid>
      <w:tr w:rsidR="0078092B" w:rsidRPr="007451FC" w14:paraId="63B69440" w14:textId="77777777" w:rsidTr="007F366D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0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2052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620" w:type="dxa"/>
            <w:gridSpan w:val="3"/>
          </w:tcPr>
          <w:p w14:paraId="418D45AB" w14:textId="08DBE484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E57534"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7F366D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36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0"/>
      <w:tr w:rsidR="00777E02" w:rsidRPr="007451FC" w14:paraId="7918D6AB" w14:textId="77777777" w:rsidTr="007F366D">
        <w:trPr>
          <w:trHeight w:val="574"/>
        </w:trPr>
        <w:tc>
          <w:tcPr>
            <w:tcW w:w="682" w:type="dxa"/>
          </w:tcPr>
          <w:p w14:paraId="58034AF9" w14:textId="5B80EE0F" w:rsidR="00777E02" w:rsidRPr="007451FC" w:rsidRDefault="00777E02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777E02" w:rsidRPr="0094495C" w:rsidRDefault="00777E02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777E02" w:rsidRPr="0094495C" w:rsidRDefault="00777E02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052" w:type="dxa"/>
          </w:tcPr>
          <w:p w14:paraId="4339140B" w14:textId="77777777" w:rsidR="00777E02" w:rsidRPr="0094495C" w:rsidRDefault="00777E02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01" w:type="dxa"/>
          </w:tcPr>
          <w:p w14:paraId="7FC2D298" w14:textId="304C3EC5" w:rsidR="00777E02" w:rsidRPr="0094495C" w:rsidRDefault="00777E02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 800 </w:t>
            </w: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365" w:type="dxa"/>
          </w:tcPr>
          <w:p w14:paraId="701600EF" w14:textId="0A95AA79" w:rsidR="00777E02" w:rsidRPr="00A577EA" w:rsidRDefault="007F366D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1 000 000</w:t>
            </w:r>
          </w:p>
        </w:tc>
        <w:tc>
          <w:tcPr>
            <w:tcW w:w="1754" w:type="dxa"/>
          </w:tcPr>
          <w:p w14:paraId="172ECA70" w14:textId="5A8AA7F7" w:rsidR="00777E02" w:rsidRPr="00A577EA" w:rsidRDefault="007F366D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</w:t>
            </w:r>
            <w:r w:rsidR="00777E0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 800 </w:t>
            </w:r>
            <w:r w:rsidR="00777E02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</w:tr>
      <w:tr w:rsidR="00777E02" w:rsidRPr="007451FC" w14:paraId="717CC03E" w14:textId="77777777" w:rsidTr="007F366D">
        <w:trPr>
          <w:trHeight w:val="184"/>
        </w:trPr>
        <w:tc>
          <w:tcPr>
            <w:tcW w:w="682" w:type="dxa"/>
          </w:tcPr>
          <w:p w14:paraId="48F04FDD" w14:textId="7C39A35E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052" w:type="dxa"/>
          </w:tcPr>
          <w:p w14:paraId="6C0ECDE2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EFD47DF" w14:textId="3B5D3708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2 050 000</w:t>
            </w:r>
          </w:p>
        </w:tc>
        <w:tc>
          <w:tcPr>
            <w:tcW w:w="1365" w:type="dxa"/>
          </w:tcPr>
          <w:p w14:paraId="25BAF7BA" w14:textId="3C9B9CD3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1754" w:type="dxa"/>
          </w:tcPr>
          <w:p w14:paraId="10BE5983" w14:textId="27FDDA29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</w:t>
            </w:r>
            <w:r w:rsidR="007F366D"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55</w:t>
            </w: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777E02" w:rsidRPr="007451FC" w14:paraId="3E11D6DA" w14:textId="77777777" w:rsidTr="007F366D">
        <w:trPr>
          <w:trHeight w:val="364"/>
        </w:trPr>
        <w:tc>
          <w:tcPr>
            <w:tcW w:w="682" w:type="dxa"/>
          </w:tcPr>
          <w:p w14:paraId="59E7F991" w14:textId="4A3D38E5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2052" w:type="dxa"/>
          </w:tcPr>
          <w:p w14:paraId="3ABF51B1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58ADD694" w14:textId="7ABD48BB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370 000</w:t>
            </w:r>
          </w:p>
        </w:tc>
        <w:tc>
          <w:tcPr>
            <w:tcW w:w="1365" w:type="dxa"/>
          </w:tcPr>
          <w:p w14:paraId="200DDF75" w14:textId="5AC15DC2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130 000</w:t>
            </w:r>
          </w:p>
        </w:tc>
        <w:tc>
          <w:tcPr>
            <w:tcW w:w="1754" w:type="dxa"/>
          </w:tcPr>
          <w:p w14:paraId="4F42505D" w14:textId="651FAEC6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</w:t>
            </w:r>
            <w:r w:rsidR="00777E02"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777E02" w:rsidRPr="007451FC" w14:paraId="0A4B6961" w14:textId="77777777" w:rsidTr="007F366D">
        <w:trPr>
          <w:trHeight w:val="180"/>
        </w:trPr>
        <w:tc>
          <w:tcPr>
            <w:tcW w:w="682" w:type="dxa"/>
          </w:tcPr>
          <w:p w14:paraId="4D6C4595" w14:textId="29BC8AAD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052" w:type="dxa"/>
          </w:tcPr>
          <w:p w14:paraId="6363E439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A3739AC" w14:textId="61D9FD76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1365" w:type="dxa"/>
          </w:tcPr>
          <w:p w14:paraId="03AC4298" w14:textId="66FF341C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129 700</w:t>
            </w:r>
          </w:p>
        </w:tc>
        <w:tc>
          <w:tcPr>
            <w:tcW w:w="1754" w:type="dxa"/>
          </w:tcPr>
          <w:p w14:paraId="02838329" w14:textId="39E8A7BC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629 7</w:t>
            </w:r>
            <w:r w:rsidR="00777E02"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777E02" w:rsidRPr="007451FC" w14:paraId="6517954A" w14:textId="77777777" w:rsidTr="007F366D">
        <w:trPr>
          <w:trHeight w:val="263"/>
        </w:trPr>
        <w:tc>
          <w:tcPr>
            <w:tcW w:w="682" w:type="dxa"/>
          </w:tcPr>
          <w:p w14:paraId="0A166B89" w14:textId="4120CE63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052" w:type="dxa"/>
          </w:tcPr>
          <w:p w14:paraId="338EAC8C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37E55F3" w14:textId="06A1C46F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950 000</w:t>
            </w:r>
          </w:p>
        </w:tc>
        <w:tc>
          <w:tcPr>
            <w:tcW w:w="1365" w:type="dxa"/>
          </w:tcPr>
          <w:p w14:paraId="20B3EBA6" w14:textId="6DF6857B" w:rsidR="00777E0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162 600</w:t>
            </w:r>
          </w:p>
        </w:tc>
        <w:tc>
          <w:tcPr>
            <w:tcW w:w="1754" w:type="dxa"/>
          </w:tcPr>
          <w:p w14:paraId="316404C4" w14:textId="62ACE7D1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7F366D"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112 6</w:t>
            </w: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777E02" w:rsidRPr="007451FC" w14:paraId="4CAAF3E3" w14:textId="77777777" w:rsidTr="007F366D">
        <w:trPr>
          <w:trHeight w:val="561"/>
        </w:trPr>
        <w:tc>
          <w:tcPr>
            <w:tcW w:w="682" w:type="dxa"/>
          </w:tcPr>
          <w:p w14:paraId="54C719AA" w14:textId="229A8701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052" w:type="dxa"/>
          </w:tcPr>
          <w:p w14:paraId="5D65E489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8FD51C9" w14:textId="306FEBE4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130 000</w:t>
            </w:r>
          </w:p>
        </w:tc>
        <w:tc>
          <w:tcPr>
            <w:tcW w:w="1365" w:type="dxa"/>
          </w:tcPr>
          <w:p w14:paraId="193742B8" w14:textId="6D283829" w:rsidR="00777E0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77 700</w:t>
            </w:r>
          </w:p>
        </w:tc>
        <w:tc>
          <w:tcPr>
            <w:tcW w:w="1754" w:type="dxa"/>
          </w:tcPr>
          <w:p w14:paraId="7807573F" w14:textId="682361B0" w:rsidR="00777E02" w:rsidRPr="00E431A3" w:rsidRDefault="007F366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207</w:t>
            </w:r>
            <w:r w:rsidR="00777E02"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700</w:t>
            </w:r>
          </w:p>
        </w:tc>
      </w:tr>
      <w:tr w:rsidR="00777E02" w:rsidRPr="007451FC" w14:paraId="0A15D0B1" w14:textId="77777777" w:rsidTr="007F366D">
        <w:trPr>
          <w:trHeight w:val="561"/>
        </w:trPr>
        <w:tc>
          <w:tcPr>
            <w:tcW w:w="682" w:type="dxa"/>
          </w:tcPr>
          <w:p w14:paraId="469FD980" w14:textId="55094FDE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63" w:type="dxa"/>
          </w:tcPr>
          <w:p w14:paraId="7D67EF05" w14:textId="4ED61284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та встановлення генератора</w:t>
            </w:r>
          </w:p>
        </w:tc>
        <w:tc>
          <w:tcPr>
            <w:tcW w:w="2052" w:type="dxa"/>
          </w:tcPr>
          <w:p w14:paraId="174985C2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7A9D2F87" w14:textId="71BC7197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800 000</w:t>
            </w:r>
          </w:p>
        </w:tc>
        <w:tc>
          <w:tcPr>
            <w:tcW w:w="1365" w:type="dxa"/>
          </w:tcPr>
          <w:p w14:paraId="7B3535E4" w14:textId="655E99D3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-800 000</w:t>
            </w:r>
          </w:p>
        </w:tc>
        <w:tc>
          <w:tcPr>
            <w:tcW w:w="1754" w:type="dxa"/>
          </w:tcPr>
          <w:p w14:paraId="436162BD" w14:textId="186B562F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C706E2" w:rsidRPr="007451FC" w14:paraId="28EAB47C" w14:textId="77777777" w:rsidTr="006F5ED1">
        <w:trPr>
          <w:trHeight w:val="869"/>
        </w:trPr>
        <w:tc>
          <w:tcPr>
            <w:tcW w:w="682" w:type="dxa"/>
          </w:tcPr>
          <w:p w14:paraId="67709635" w14:textId="563A4814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3" w:type="dxa"/>
          </w:tcPr>
          <w:p w14:paraId="653F4C17" w14:textId="3C64A7DE" w:rsidR="00C706E2" w:rsidRPr="00E431A3" w:rsidRDefault="00C706E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блоків для електролізних установок, 3шт.</w:t>
            </w:r>
          </w:p>
        </w:tc>
        <w:tc>
          <w:tcPr>
            <w:tcW w:w="2052" w:type="dxa"/>
          </w:tcPr>
          <w:p w14:paraId="4856EA38" w14:textId="77777777" w:rsidR="00C706E2" w:rsidRPr="00E431A3" w:rsidRDefault="00C706E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9643458" w14:textId="032161B3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2438F12E" w14:textId="04A31DF1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+290 000</w:t>
            </w:r>
          </w:p>
        </w:tc>
        <w:tc>
          <w:tcPr>
            <w:tcW w:w="1754" w:type="dxa"/>
          </w:tcPr>
          <w:p w14:paraId="37894A0D" w14:textId="38294C08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290 000</w:t>
            </w:r>
          </w:p>
        </w:tc>
      </w:tr>
      <w:tr w:rsidR="00C706E2" w:rsidRPr="007451FC" w14:paraId="3894C2DB" w14:textId="77777777" w:rsidTr="007F366D">
        <w:trPr>
          <w:trHeight w:val="561"/>
        </w:trPr>
        <w:tc>
          <w:tcPr>
            <w:tcW w:w="682" w:type="dxa"/>
          </w:tcPr>
          <w:p w14:paraId="596C0A48" w14:textId="14EC12B7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63" w:type="dxa"/>
          </w:tcPr>
          <w:p w14:paraId="20D3531C" w14:textId="32F8BB10" w:rsidR="00C706E2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2052" w:type="dxa"/>
          </w:tcPr>
          <w:p w14:paraId="662822AD" w14:textId="77777777" w:rsidR="00C706E2" w:rsidRPr="00E431A3" w:rsidRDefault="00C706E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CC727F5" w14:textId="32ADB8F0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6F54A510" w14:textId="55D78C3E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+80 000</w:t>
            </w:r>
          </w:p>
        </w:tc>
        <w:tc>
          <w:tcPr>
            <w:tcW w:w="1754" w:type="dxa"/>
          </w:tcPr>
          <w:p w14:paraId="1D4D4675" w14:textId="5C17F48F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80 000</w:t>
            </w:r>
          </w:p>
        </w:tc>
      </w:tr>
      <w:tr w:rsidR="00777E02" w:rsidRPr="007451FC" w14:paraId="4E6C7D50" w14:textId="77777777" w:rsidTr="007F366D">
        <w:trPr>
          <w:trHeight w:val="561"/>
        </w:trPr>
        <w:tc>
          <w:tcPr>
            <w:tcW w:w="682" w:type="dxa"/>
          </w:tcPr>
          <w:p w14:paraId="16402C7A" w14:textId="3F96BC17" w:rsidR="00777E0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63" w:type="dxa"/>
          </w:tcPr>
          <w:p w14:paraId="36F71445" w14:textId="0FEF23EC" w:rsidR="00777E02" w:rsidRPr="00E431A3" w:rsidRDefault="00777E02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Послуга з встановлення генератора</w:t>
            </w:r>
          </w:p>
        </w:tc>
        <w:tc>
          <w:tcPr>
            <w:tcW w:w="2052" w:type="dxa"/>
          </w:tcPr>
          <w:p w14:paraId="3FD16DA3" w14:textId="77777777" w:rsidR="00777E02" w:rsidRPr="00E431A3" w:rsidRDefault="00777E0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6067E67F" w14:textId="6441D6E5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0D027FA4" w14:textId="5111B2F4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+150 000</w:t>
            </w:r>
          </w:p>
        </w:tc>
        <w:tc>
          <w:tcPr>
            <w:tcW w:w="1754" w:type="dxa"/>
          </w:tcPr>
          <w:p w14:paraId="33E76077" w14:textId="7A7DAFD7" w:rsidR="00777E02" w:rsidRPr="00E431A3" w:rsidRDefault="00777E0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150 000</w:t>
            </w:r>
          </w:p>
        </w:tc>
      </w:tr>
      <w:tr w:rsidR="00C706E2" w:rsidRPr="007451FC" w14:paraId="0279D332" w14:textId="77777777" w:rsidTr="007F366D">
        <w:trPr>
          <w:trHeight w:val="561"/>
        </w:trPr>
        <w:tc>
          <w:tcPr>
            <w:tcW w:w="682" w:type="dxa"/>
          </w:tcPr>
          <w:p w14:paraId="51A6F704" w14:textId="53F4F8C7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63" w:type="dxa"/>
          </w:tcPr>
          <w:p w14:paraId="0D5F2A8D" w14:textId="6CA8DD08" w:rsidR="00C706E2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Заміна контролерів вентиляційної системи</w:t>
            </w:r>
          </w:p>
        </w:tc>
        <w:tc>
          <w:tcPr>
            <w:tcW w:w="2052" w:type="dxa"/>
          </w:tcPr>
          <w:p w14:paraId="16F00B63" w14:textId="77777777" w:rsidR="00C706E2" w:rsidRPr="00E431A3" w:rsidRDefault="00C706E2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11F1963B" w14:textId="4D9CAFC6" w:rsidR="00C706E2" w:rsidRPr="00E431A3" w:rsidRDefault="00C706E2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7C1D10EC" w14:textId="05D63C35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+35 000</w:t>
            </w:r>
          </w:p>
        </w:tc>
        <w:tc>
          <w:tcPr>
            <w:tcW w:w="1754" w:type="dxa"/>
          </w:tcPr>
          <w:p w14:paraId="021F367C" w14:textId="47E28B28" w:rsidR="00C706E2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35 000 </w:t>
            </w:r>
          </w:p>
        </w:tc>
      </w:tr>
      <w:tr w:rsidR="006F5ED1" w:rsidRPr="007451FC" w14:paraId="410FC056" w14:textId="77777777" w:rsidTr="007F366D">
        <w:trPr>
          <w:trHeight w:val="561"/>
        </w:trPr>
        <w:tc>
          <w:tcPr>
            <w:tcW w:w="682" w:type="dxa"/>
          </w:tcPr>
          <w:p w14:paraId="4CF9FBD1" w14:textId="1DE23A04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63" w:type="dxa"/>
          </w:tcPr>
          <w:p w14:paraId="2D3E687A" w14:textId="7C5EFCEA" w:rsidR="006F5ED1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Модуль решітки перелива</w:t>
            </w:r>
          </w:p>
        </w:tc>
        <w:tc>
          <w:tcPr>
            <w:tcW w:w="2052" w:type="dxa"/>
          </w:tcPr>
          <w:p w14:paraId="4E3AEB35" w14:textId="77777777" w:rsidR="006F5ED1" w:rsidRPr="00E431A3" w:rsidRDefault="006F5ED1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55E36C1" w14:textId="0F100E95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4A677689" w14:textId="46EFDA61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+31 400</w:t>
            </w:r>
          </w:p>
        </w:tc>
        <w:tc>
          <w:tcPr>
            <w:tcW w:w="1754" w:type="dxa"/>
          </w:tcPr>
          <w:p w14:paraId="7E3B393C" w14:textId="7D67A21D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31 400</w:t>
            </w:r>
          </w:p>
        </w:tc>
      </w:tr>
      <w:tr w:rsidR="006F5ED1" w:rsidRPr="007451FC" w14:paraId="24E2270E" w14:textId="77777777" w:rsidTr="007F366D">
        <w:trPr>
          <w:trHeight w:val="561"/>
        </w:trPr>
        <w:tc>
          <w:tcPr>
            <w:tcW w:w="682" w:type="dxa"/>
          </w:tcPr>
          <w:p w14:paraId="212DA5EE" w14:textId="2D8A366C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3" w:type="dxa"/>
          </w:tcPr>
          <w:p w14:paraId="6F436809" w14:textId="6319A287" w:rsidR="006F5ED1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Поточний ремонт насосного обладнання</w:t>
            </w:r>
          </w:p>
        </w:tc>
        <w:tc>
          <w:tcPr>
            <w:tcW w:w="2052" w:type="dxa"/>
          </w:tcPr>
          <w:p w14:paraId="07FB138A" w14:textId="77777777" w:rsidR="006F5ED1" w:rsidRPr="00E431A3" w:rsidRDefault="006F5ED1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62948C2" w14:textId="760C20D3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38D91A16" w14:textId="3B621BB2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+72 000 </w:t>
            </w:r>
          </w:p>
        </w:tc>
        <w:tc>
          <w:tcPr>
            <w:tcW w:w="1754" w:type="dxa"/>
          </w:tcPr>
          <w:p w14:paraId="7BCA8F23" w14:textId="58DD9D34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72 000</w:t>
            </w:r>
          </w:p>
        </w:tc>
      </w:tr>
      <w:tr w:rsidR="006F5ED1" w:rsidRPr="007451FC" w14:paraId="459DEA82" w14:textId="77777777" w:rsidTr="007F366D">
        <w:trPr>
          <w:trHeight w:val="561"/>
        </w:trPr>
        <w:tc>
          <w:tcPr>
            <w:tcW w:w="682" w:type="dxa"/>
          </w:tcPr>
          <w:p w14:paraId="38AE5925" w14:textId="577CEAC8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63" w:type="dxa"/>
          </w:tcPr>
          <w:p w14:paraId="139EA262" w14:textId="697D0941" w:rsidR="006F5ED1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2052" w:type="dxa"/>
          </w:tcPr>
          <w:p w14:paraId="47C83715" w14:textId="77777777" w:rsidR="006F5ED1" w:rsidRPr="00E431A3" w:rsidRDefault="006F5ED1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66F60448" w14:textId="4A542F6B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070F2E54" w14:textId="2920DA86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+80 100</w:t>
            </w:r>
          </w:p>
        </w:tc>
        <w:tc>
          <w:tcPr>
            <w:tcW w:w="1754" w:type="dxa"/>
          </w:tcPr>
          <w:p w14:paraId="6C70FCC4" w14:textId="40330A2C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80 100</w:t>
            </w:r>
          </w:p>
        </w:tc>
      </w:tr>
      <w:tr w:rsidR="006F5ED1" w:rsidRPr="007451FC" w14:paraId="093BFC76" w14:textId="77777777" w:rsidTr="007F366D">
        <w:trPr>
          <w:trHeight w:val="561"/>
        </w:trPr>
        <w:tc>
          <w:tcPr>
            <w:tcW w:w="682" w:type="dxa"/>
          </w:tcPr>
          <w:p w14:paraId="3471D8E0" w14:textId="582AF5B7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63" w:type="dxa"/>
          </w:tcPr>
          <w:p w14:paraId="0E99CC5D" w14:textId="7CD8F83F" w:rsidR="006F5ED1" w:rsidRPr="00E431A3" w:rsidRDefault="006F5ED1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Заміна та встановлення камер відео нагляду</w:t>
            </w:r>
          </w:p>
        </w:tc>
        <w:tc>
          <w:tcPr>
            <w:tcW w:w="2052" w:type="dxa"/>
          </w:tcPr>
          <w:p w14:paraId="3D41CE19" w14:textId="77777777" w:rsidR="006F5ED1" w:rsidRPr="00E431A3" w:rsidRDefault="006F5ED1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08C6568" w14:textId="1AAC03F3" w:rsidR="006F5ED1" w:rsidRPr="00E431A3" w:rsidRDefault="006F5ED1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451B15D5" w14:textId="2D62634F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+61 500</w:t>
            </w:r>
          </w:p>
        </w:tc>
        <w:tc>
          <w:tcPr>
            <w:tcW w:w="1754" w:type="dxa"/>
          </w:tcPr>
          <w:p w14:paraId="3B21580F" w14:textId="60B58C62" w:rsidR="006F5ED1" w:rsidRPr="00E431A3" w:rsidRDefault="00E431A3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61 500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59396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1613356">
    <w:abstractNumId w:val="5"/>
  </w:num>
  <w:num w:numId="3" w16cid:durableId="1811749150">
    <w:abstractNumId w:val="6"/>
  </w:num>
  <w:num w:numId="4" w16cid:durableId="829520694">
    <w:abstractNumId w:val="8"/>
  </w:num>
  <w:num w:numId="5" w16cid:durableId="308242835">
    <w:abstractNumId w:val="2"/>
  </w:num>
  <w:num w:numId="6" w16cid:durableId="1098451121">
    <w:abstractNumId w:val="7"/>
  </w:num>
  <w:num w:numId="7" w16cid:durableId="514998424">
    <w:abstractNumId w:val="1"/>
  </w:num>
  <w:num w:numId="8" w16cid:durableId="599068737">
    <w:abstractNumId w:val="4"/>
  </w:num>
  <w:num w:numId="9" w16cid:durableId="1933976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763"/>
    <w:rsid w:val="00014A5C"/>
    <w:rsid w:val="000646B2"/>
    <w:rsid w:val="000A51AD"/>
    <w:rsid w:val="00167B3A"/>
    <w:rsid w:val="001842CD"/>
    <w:rsid w:val="00184394"/>
    <w:rsid w:val="00196D69"/>
    <w:rsid w:val="002B5E62"/>
    <w:rsid w:val="002E13AB"/>
    <w:rsid w:val="003609D6"/>
    <w:rsid w:val="00403617"/>
    <w:rsid w:val="0045169A"/>
    <w:rsid w:val="004C4CE8"/>
    <w:rsid w:val="00505185"/>
    <w:rsid w:val="005371F6"/>
    <w:rsid w:val="00540128"/>
    <w:rsid w:val="00572763"/>
    <w:rsid w:val="005E140A"/>
    <w:rsid w:val="005E4295"/>
    <w:rsid w:val="00657304"/>
    <w:rsid w:val="006C0B77"/>
    <w:rsid w:val="006F5ED1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21603"/>
    <w:rsid w:val="00922C48"/>
    <w:rsid w:val="009F7390"/>
    <w:rsid w:val="00A577EA"/>
    <w:rsid w:val="00AF7387"/>
    <w:rsid w:val="00B051AE"/>
    <w:rsid w:val="00B17F90"/>
    <w:rsid w:val="00B2395E"/>
    <w:rsid w:val="00B721EC"/>
    <w:rsid w:val="00B915B7"/>
    <w:rsid w:val="00BF0E65"/>
    <w:rsid w:val="00C04AD9"/>
    <w:rsid w:val="00C30ED1"/>
    <w:rsid w:val="00C473F1"/>
    <w:rsid w:val="00C706E2"/>
    <w:rsid w:val="00C82847"/>
    <w:rsid w:val="00D4712F"/>
    <w:rsid w:val="00E431A3"/>
    <w:rsid w:val="00E57534"/>
    <w:rsid w:val="00E718F1"/>
    <w:rsid w:val="00EA59DF"/>
    <w:rsid w:val="00EE4070"/>
    <w:rsid w:val="00F12C76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  <w15:docId w15:val="{58031F35-DF02-4274-BD72-2EF004FB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7F6AA-5145-4B11-9AA4-4DFBF68C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3758</Words>
  <Characters>2143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User-309</cp:lastModifiedBy>
  <cp:revision>16</cp:revision>
  <cp:lastPrinted>2023-08-11T07:12:00Z</cp:lastPrinted>
  <dcterms:created xsi:type="dcterms:W3CDTF">2024-09-04T09:33:00Z</dcterms:created>
  <dcterms:modified xsi:type="dcterms:W3CDTF">2024-10-28T08:55:00Z</dcterms:modified>
</cp:coreProperties>
</file>