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0E0AF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0AF6" w:rsidRPr="000E0AF6" w:rsidRDefault="000E0AF6" w:rsidP="000E0AF6">
      <w:pPr>
        <w:keepNext/>
        <w:spacing w:after="0" w:line="240" w:lineRule="auto"/>
        <w:ind w:right="-1" w:hanging="22"/>
        <w:jc w:val="center"/>
        <w:outlineLvl w:val="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  <w:lang w:eastAsia="uk-UA"/>
        </w:rPr>
        <w:t>іш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ення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внесення змін  до рішення Броварської міської ради</w:t>
      </w:r>
    </w:p>
    <w:p w:rsidR="000E0AF6" w:rsidRPr="000E0AF6" w:rsidRDefault="000E0AF6" w:rsidP="000E0A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Броварського району Київської області від 21.12.2023 року № 1469-61-08</w:t>
      </w:r>
    </w:p>
    <w:p w:rsidR="000E0AF6" w:rsidRPr="000E0AF6" w:rsidRDefault="000E0AF6" w:rsidP="000E0AF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бюджет Броварської міської територіальної громади на 2024 рік» 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додатків 1, 2, 3, 5, 6, </w:t>
      </w:r>
      <w:r w:rsidRPr="000E0AF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9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</w:t>
      </w: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Обґрунтування необхідності прийняття рішення</w:t>
      </w:r>
    </w:p>
    <w:p w:rsidR="000E0AF6" w:rsidRPr="000E0AF6" w:rsidRDefault="000E0AF6" w:rsidP="000E0AF6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Необхідність забезпечення кошторисними призначеннями для виконання місцевих програм, затверджених рішеннями Броварської міської ради Броварського району Київської області, міжбюджетних трансфертів та інших видатків з бюджету.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0E0AF6" w:rsidRPr="000E0AF6" w:rsidRDefault="000E0AF6" w:rsidP="000E0AF6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кошторисними призначеннями для фінансування місцевих програм, міжбюджетних трансфертів та інших видатків з бюджету.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Правові аспекти</w:t>
      </w:r>
    </w:p>
    <w:p w:rsidR="000E0AF6" w:rsidRPr="000E0AF6" w:rsidRDefault="000E0AF6" w:rsidP="000E0AF6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відповідно до Бюджетного кодексу України, Закону України «Про місцеве самоврядування в Україні».</w:t>
      </w:r>
    </w:p>
    <w:p w:rsidR="000E0AF6" w:rsidRPr="000E0AF6" w:rsidRDefault="000E0AF6" w:rsidP="000E0A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4.Фінансово економічне обґрунтування</w:t>
      </w: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Перевиконання доходної частини бюджету станом на 01.10.2024 року.</w:t>
      </w: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Субвенція з Державного бюджету України.</w:t>
      </w: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Дотація з обласного бюджету Київської області.</w:t>
      </w: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Місцеве запозичення від АТ «Державний експортно-імпортний банк України».</w:t>
      </w: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5.Прогноз результатів</w:t>
      </w: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кошторисними призначеннями для своєчасного фінансування місцевих програм, затверджених рішеннями Броварської міської ради Броварського району Київської області, міжбюджетних трансфертів та інших видатків з бюджету, відповідно до їх фактичної потреби.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bookmarkStart w:id="0" w:name="_Hlk68013597"/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6.Суб’єкт подання проекту рішення</w:t>
      </w: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Фінансове управління Броварської міської ради Броварського району Київської області, начальник Наталія ПОСТЕРНАК 6-06-67, заступник начальника – начальник бюджетного відділу Наталія КРІПАК 6-13-59.</w:t>
      </w:r>
    </w:p>
    <w:bookmarkEnd w:id="0"/>
    <w:p w:rsidR="000E0AF6" w:rsidRPr="000E0AF6" w:rsidRDefault="000E0AF6" w:rsidP="000E0AF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7.Порівняльні таблиці</w:t>
      </w:r>
    </w:p>
    <w:p w:rsidR="000E0AF6" w:rsidRPr="000E0AF6" w:rsidRDefault="000E0AF6" w:rsidP="000E0A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u w:val="single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ДОХОДИ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7"/>
        <w:gridCol w:w="2920"/>
        <w:gridCol w:w="1896"/>
        <w:gridCol w:w="1612"/>
        <w:gridCol w:w="2124"/>
      </w:tblGrid>
      <w:tr w:rsidR="000E0AF6" w:rsidRPr="000E0AF6" w:rsidTr="000E0AF6"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код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Найменування згідно з Класифікацією доходів бюджету</w:t>
            </w:r>
          </w:p>
        </w:tc>
        <w:tc>
          <w:tcPr>
            <w:tcW w:w="5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Передбачено в бюджеті</w:t>
            </w: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на 2024 рік (гривень)</w:t>
            </w:r>
          </w:p>
        </w:tc>
      </w:tr>
      <w:tr w:rsidR="000E0AF6" w:rsidRPr="000E0AF6" w:rsidTr="000E0AF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було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зміни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стало</w:t>
            </w:r>
          </w:p>
        </w:tc>
      </w:tr>
      <w:tr w:rsidR="000E0AF6" w:rsidRPr="000E0AF6" w:rsidTr="000E0AF6">
        <w:trPr>
          <w:trHeight w:val="735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10000000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Податкові надходження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1 711 285 741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eastAsia="uk-UA"/>
              </w:rPr>
              <w:t>601 875,0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1 711 887 616</w:t>
            </w:r>
          </w:p>
        </w:tc>
      </w:tr>
      <w:tr w:rsidR="000E0AF6" w:rsidRPr="000E0AF6" w:rsidTr="000E0AF6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20000000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Неподаткові надходження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118 540 680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118 540 680</w:t>
            </w:r>
          </w:p>
        </w:tc>
      </w:tr>
      <w:tr w:rsidR="000E0AF6" w:rsidRPr="000E0AF6" w:rsidTr="000E0AF6"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30000000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Доходи від операцій з капіталом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52 135 000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52 135 000</w:t>
            </w:r>
          </w:p>
        </w:tc>
      </w:tr>
      <w:tr w:rsidR="000E0AF6" w:rsidRPr="000E0AF6" w:rsidTr="000E0AF6">
        <w:trPr>
          <w:trHeight w:val="612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40000000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Офіційні трансферти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573 131 116,26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+11 084 607,60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584 215 723,86</w:t>
            </w:r>
          </w:p>
        </w:tc>
      </w:tr>
      <w:tr w:rsidR="000E0AF6" w:rsidRPr="000E0AF6" w:rsidTr="000E0AF6">
        <w:trPr>
          <w:trHeight w:val="439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50000000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Цільові фонди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1 500 000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 w:eastAsia="uk-UA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1 500 000</w:t>
            </w:r>
          </w:p>
        </w:tc>
      </w:tr>
      <w:tr w:rsidR="000E0AF6" w:rsidRPr="000E0AF6" w:rsidTr="000E0AF6">
        <w:trPr>
          <w:trHeight w:val="581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РАЗОМ ДОХОДІВ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2 456 592 537,26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lang w:eastAsia="uk-UA"/>
              </w:rPr>
              <w:t>11 686 482,60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2 468 279 019,86</w:t>
            </w:r>
          </w:p>
        </w:tc>
      </w:tr>
    </w:tbl>
    <w:p w:rsidR="000E0AF6" w:rsidRPr="000E0AF6" w:rsidRDefault="000E0AF6" w:rsidP="000E0AF6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</w:p>
    <w:p w:rsidR="000E0AF6" w:rsidRPr="000E0AF6" w:rsidRDefault="000E0AF6" w:rsidP="000E0AF6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ВИДАТКИ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2867"/>
        <w:gridCol w:w="1984"/>
        <w:gridCol w:w="1842"/>
        <w:gridCol w:w="1983"/>
      </w:tblGrid>
      <w:tr w:rsidR="000E0AF6" w:rsidRPr="000E0AF6" w:rsidTr="000E0AF6"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№</w:t>
            </w: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п/</w:t>
            </w:r>
            <w:proofErr w:type="spellStart"/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</w:t>
            </w:r>
            <w:proofErr w:type="spellEnd"/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Назва</w:t>
            </w:r>
          </w:p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головного розпорядника бюджетних коштів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Передбачено в бюджеті</w:t>
            </w: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на 2024 рік (гривень)</w:t>
            </w:r>
          </w:p>
        </w:tc>
      </w:tr>
      <w:tr w:rsidR="000E0AF6" w:rsidRPr="000E0AF6" w:rsidTr="000E0AF6">
        <w:trPr>
          <w:trHeight w:val="425"/>
        </w:trPr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було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зміни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стало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Броварська міська рада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369 500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369 500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105 928 600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105 928 600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1 064 102 064,86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+10 978 700,0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1 075 080 764,86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 охорони здоров'я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147 197 587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147 197 587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Управління соціального захисту населення Броварської міської ради Броварського </w:t>
            </w: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168 525 2</w:t>
            </w:r>
            <w:r w:rsidRPr="000E0AF6">
              <w:rPr>
                <w:rFonts w:ascii="Times New Roman" w:eastAsia="Times New Roman" w:hAnsi="Times New Roman" w:cs="Times New Roman"/>
                <w:lang w:val="en-US" w:eastAsia="uk-UA"/>
              </w:rPr>
              <w:t>80</w:t>
            </w: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168 525 2</w:t>
            </w:r>
            <w:r w:rsidRPr="000E0AF6">
              <w:rPr>
                <w:rFonts w:ascii="Times New Roman" w:eastAsia="Times New Roman" w:hAnsi="Times New Roman" w:cs="Times New Roman"/>
                <w:lang w:val="en-US" w:eastAsia="uk-UA"/>
              </w:rPr>
              <w:t>80</w:t>
            </w: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,29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9 503 700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9 503 700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 культури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89 524 154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89 524 154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63 563 313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+10 931,60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63 574 244,60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823 317 669,29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+100 944 296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924 261 965,29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9 370 300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9 370 300</w:t>
            </w:r>
          </w:p>
        </w:tc>
      </w:tr>
      <w:tr w:rsidR="000E0AF6" w:rsidRPr="000E0AF6" w:rsidTr="000E0AF6">
        <w:trPr>
          <w:trHeight w:val="1417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8 284 600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8 284 600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98 738 016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+1 029 759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lang w:val="uk-UA" w:eastAsia="uk-UA"/>
              </w:rPr>
              <w:t>99 767 775</w:t>
            </w:r>
          </w:p>
        </w:tc>
      </w:tr>
      <w:tr w:rsidR="000E0AF6" w:rsidRPr="000E0AF6" w:rsidTr="000E0AF6"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F6" w:rsidRPr="000E0AF6" w:rsidRDefault="000E0AF6" w:rsidP="000E0A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2 588 424 784,44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+112 963 686,60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F6" w:rsidRPr="000E0AF6" w:rsidRDefault="000E0AF6" w:rsidP="000E0AF6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E0AF6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2 701 388 471,04</w:t>
            </w:r>
          </w:p>
        </w:tc>
      </w:tr>
    </w:tbl>
    <w:p w:rsidR="000E0AF6" w:rsidRPr="000E0AF6" w:rsidRDefault="000E0AF6" w:rsidP="000E0AF6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E0AF6" w:rsidRPr="000E0AF6" w:rsidRDefault="000E0AF6" w:rsidP="000E0AF6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ДОХОДИ</w:t>
      </w:r>
    </w:p>
    <w:p w:rsidR="000E0AF6" w:rsidRPr="000E0AF6" w:rsidRDefault="000E0AF6" w:rsidP="000E0AF6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val="uk-UA" w:eastAsia="uk-UA"/>
        </w:rPr>
      </w:pPr>
    </w:p>
    <w:p w:rsidR="000E0AF6" w:rsidRPr="000E0AF6" w:rsidRDefault="000E0AF6" w:rsidP="000E0AF6">
      <w:pPr>
        <w:tabs>
          <w:tab w:val="left" w:pos="671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ЗАГАЛЬНИЙ ФОНД</w:t>
      </w:r>
    </w:p>
    <w:p w:rsidR="000E0AF6" w:rsidRPr="000E0AF6" w:rsidRDefault="000E0AF6" w:rsidP="000E0AF6">
      <w:pPr>
        <w:numPr>
          <w:ilvl w:val="0"/>
          <w:numId w:val="3"/>
        </w:numPr>
        <w:tabs>
          <w:tab w:val="left" w:pos="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Збільшити доходну частину бюджету на </w:t>
      </w:r>
      <w:r w:rsidRPr="000E0A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11 686 482,60 </w:t>
      </w: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грн.:</w:t>
      </w:r>
    </w:p>
    <w:p w:rsidR="000E0AF6" w:rsidRPr="000E0AF6" w:rsidRDefault="000E0AF6" w:rsidP="000E0AF6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01.10.2024 року збільшити доходну частину бюджету на </w:t>
      </w:r>
      <w:r w:rsidRPr="000E0A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601 875,0 </w:t>
      </w: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грн.: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uk-UA"/>
        </w:rPr>
      </w:pP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1.1.1. </w:t>
      </w: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по коду 11010100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«Податок на доходи фізичних осіб, що сплачується податковими агентами, із доходів платника податку у вигляді заробітної плати» збільшити на 601 875,00 грн.;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:rsidR="000E0AF6" w:rsidRPr="000E0AF6" w:rsidRDefault="000E0AF6" w:rsidP="000E0AF6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відповідно до наказу начальника Київської обласної військової адміністрації (Київської обласної державної адміністрації)  від 30.09. 2024 року № 558 «</w:t>
      </w:r>
      <w:r w:rsidRPr="000E0A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внесення змін до обласного бюджету на 2024 рік</w:t>
      </w: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 збільшити на 105 907,60 грн.:</w:t>
      </w:r>
    </w:p>
    <w:p w:rsidR="000E0AF6" w:rsidRPr="000E0AF6" w:rsidRDefault="000E0AF6" w:rsidP="000E0A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41040400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«Інші дотації з місцевого бюджету» збільшити на 94 976,0 грн.;</w:t>
      </w:r>
    </w:p>
    <w:p w:rsidR="000E0AF6" w:rsidRPr="000E0AF6" w:rsidRDefault="000E0AF6" w:rsidP="000E0A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E0AF6" w:rsidRPr="000E0AF6" w:rsidRDefault="000E0AF6" w:rsidP="000E0AF6">
      <w:pPr>
        <w:numPr>
          <w:ilvl w:val="2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по коду 41057700 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«Субвенція з місцевого бюджету на виконання окремих заходів з реалізації соціального проекту "Активні парки - локації здорової України" за рахунок відповідної субвенції з державного бюджету» збільшити на 10 931,6 грн.;</w:t>
      </w:r>
    </w:p>
    <w:p w:rsidR="000E0AF6" w:rsidRPr="000E0AF6" w:rsidRDefault="000E0AF6" w:rsidP="000E0AF6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E0AF6" w:rsidRPr="000E0AF6" w:rsidRDefault="000E0AF6" w:rsidP="000E0AF6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відповідно до постанови Кабінету Міністрів України від 4 жовтня 2024 року № 1145 «</w:t>
      </w:r>
      <w:r w:rsidRPr="000E0A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>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 та повідомлення № 52 від 07.10.2024 р. про зміни до річного розпису асигнувань державного бюджету на 2024 рік збільшити на 10 978 700,0 грн.:</w:t>
      </w:r>
    </w:p>
    <w:p w:rsidR="000E0AF6" w:rsidRPr="000E0AF6" w:rsidRDefault="000E0AF6" w:rsidP="000E0A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0E0AF6" w:rsidRPr="000E0AF6" w:rsidRDefault="000E0AF6" w:rsidP="000E0AF6">
      <w:pPr>
        <w:numPr>
          <w:ilvl w:val="2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41033300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Субвенція з державного бюджету місцевим бюджетам на забезпечення харчуванням учнів початкових класів закладів загальної середньої освіти» збільшити на 10 978 700,0 грн.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ФІНАНСУВАННЯ МІСЦЕВОГО БЮДЖЕТУ</w:t>
      </w:r>
    </w:p>
    <w:p w:rsidR="000E0AF6" w:rsidRPr="000E0AF6" w:rsidRDefault="000E0AF6" w:rsidP="000E0AF6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E0AF6" w:rsidRPr="000E0AF6" w:rsidRDefault="000E0AF6" w:rsidP="000E0AF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рахунок залучення кредитних коштів від Акціонерного товариства «Державний експортно-імпортний банк України»  </w:t>
      </w: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збільшити загальне фінансування на 100 849 320,0 грн.:</w:t>
      </w:r>
    </w:p>
    <w:p w:rsidR="000E0AF6" w:rsidRPr="000E0AF6" w:rsidRDefault="000E0AF6" w:rsidP="000E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0E0AF6" w:rsidRPr="000E0AF6" w:rsidRDefault="000E0AF6" w:rsidP="000E0AF6">
      <w:pPr>
        <w:numPr>
          <w:ilvl w:val="1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200000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«Внутрішнє фінансування» збільшити на 100 849 320,0 грн.: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E0AF6" w:rsidRPr="000E0AF6" w:rsidRDefault="000E0AF6" w:rsidP="000E0AF6">
      <w:pPr>
        <w:numPr>
          <w:ilvl w:val="2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202000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«Фінансування за рахунок позик банківських установ» збільшити на 100 849 320,0 грн.: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E0AF6" w:rsidRPr="000E0AF6" w:rsidRDefault="000E0AF6" w:rsidP="000E0AF6">
      <w:pPr>
        <w:numPr>
          <w:ilvl w:val="3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lastRenderedPageBreak/>
        <w:t>по коду 202210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«Одержано позик» збільшити на 100 849 320,0 грн., з них: 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E0AF6" w:rsidRPr="000E0AF6" w:rsidRDefault="000E0AF6" w:rsidP="000E0AF6">
      <w:pPr>
        <w:numPr>
          <w:ilvl w:val="1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400000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«Фінансування за борговими операціями» збільшити на 100 849 320,0 грн.:</w:t>
      </w:r>
    </w:p>
    <w:p w:rsidR="000E0AF6" w:rsidRPr="000E0AF6" w:rsidRDefault="000E0AF6" w:rsidP="000E0A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1.2.1</w:t>
      </w: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.по коду 401000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«Запозичення» збільшити на 100 849 320,0 грн.: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E0AF6" w:rsidRPr="000E0AF6" w:rsidRDefault="000E0AF6" w:rsidP="000E0A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1.2.1.1.</w:t>
      </w: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401101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«Довгострокові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>’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</w:rPr>
        <w:t>язання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» збільшити на 100 849 320,0 грн.</w:t>
      </w:r>
    </w:p>
    <w:p w:rsidR="000E0AF6" w:rsidRPr="000E0AF6" w:rsidRDefault="000E0AF6" w:rsidP="000E0A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E0AF6" w:rsidRPr="000E0AF6" w:rsidRDefault="000E0AF6" w:rsidP="000E0AF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Враховуючи завершення робіт на об’єкті :</w:t>
      </w:r>
      <w:r w:rsidRPr="000E0A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Капітальний ремонт мереж зовнішнього освітлення вулиць у місті Бровари Київської області» та зменшенням суми вибірки та погашення кредиту від Міжнародної фінансової організації - Північної фінансової корпорації (НЕФКО) зменшити обсяг зовнішнього фінансування на 427 884,0 грн.: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по коду 301 000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«Позики, надані міжнародними фінансовими організаціями» зменшити на 427 884,0 грн.: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:rsidR="000E0AF6" w:rsidRPr="000E0AF6" w:rsidRDefault="000E0AF6" w:rsidP="000E0AF6">
      <w:pPr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по коду 301 200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«Погашено позик » зменшити на 427 884,0 грн.;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:rsidR="000E0AF6" w:rsidRPr="000E0AF6" w:rsidRDefault="000E0AF6" w:rsidP="000E0AF6">
      <w:pPr>
        <w:numPr>
          <w:ilvl w:val="1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по коду 401 000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«Запозичення» зменшити на 427 884,0 грн.: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:rsidR="000E0AF6" w:rsidRPr="000E0AF6" w:rsidRDefault="000E0AF6" w:rsidP="000E0AF6">
      <w:pPr>
        <w:numPr>
          <w:ilvl w:val="2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по коду 401 201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«Довгострокові зобов'язання» зменшити на 427 884,0 грн.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E0AF6" w:rsidRPr="000E0AF6" w:rsidRDefault="000E0AF6" w:rsidP="000E0AF6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ВИДАТКИ</w:t>
      </w:r>
    </w:p>
    <w:p w:rsidR="000E0AF6" w:rsidRPr="000E0AF6" w:rsidRDefault="000E0AF6" w:rsidP="000E0AF6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ЗАГАЛЬНИЙ ФОНД</w:t>
      </w:r>
    </w:p>
    <w:p w:rsidR="000E0AF6" w:rsidRPr="000E0AF6" w:rsidRDefault="000E0AF6" w:rsidP="000E0AF6">
      <w:pPr>
        <w:tabs>
          <w:tab w:val="left" w:pos="67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Збільшити видаткову частину бюджету на 12 114 366,60 грн.: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враховуючи офіційний висновок фінансового управління Броварської міської ради Броварського району Київської області про перевиконання доходної частини загального фонду бюджету станом на 01.10.2024 року збільшити на 1 029 759,0 грн.: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2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Фінансовому управлінню Броварської міської ради Броварського району Київської області 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збільшити  на 1 029 759,0 грн.:</w:t>
      </w:r>
    </w:p>
    <w:p w:rsidR="000E0AF6" w:rsidRPr="000E0AF6" w:rsidRDefault="000E0AF6" w:rsidP="000E0A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1.1.1.1. </w:t>
      </w: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по коду 3718600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«Обслуговування місцевого боргу» збільшити на 1 029 759,0 грн.;</w:t>
      </w:r>
    </w:p>
    <w:p w:rsidR="000E0AF6" w:rsidRPr="000E0AF6" w:rsidRDefault="000E0AF6" w:rsidP="000E0AF6">
      <w:pPr>
        <w:tabs>
          <w:tab w:val="left" w:pos="851"/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u w:val="single"/>
          <w:lang w:val="uk-UA" w:eastAsia="uk-UA"/>
        </w:rPr>
      </w:pPr>
    </w:p>
    <w:p w:rsidR="000E0AF6" w:rsidRPr="000E0AF6" w:rsidRDefault="000E0AF6" w:rsidP="000E0AF6">
      <w:pPr>
        <w:numPr>
          <w:ilvl w:val="1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відповідно до наказу начальника Київської обласної військової адміністрації (Київської обласної державної адміністрації)  від 30.09. 2024 року № 558 «</w:t>
      </w:r>
      <w:r w:rsidRPr="000E0A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внесення змін до обласного бюджету на 2024 рік</w:t>
      </w: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 збільшити на 105 907,60 грн.:</w:t>
      </w:r>
    </w:p>
    <w:p w:rsidR="000E0AF6" w:rsidRPr="000E0AF6" w:rsidRDefault="000E0AF6" w:rsidP="000E0A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2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Відділу фізичної культури та спорту Броварської міської ради Броварського району Київської області 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збільшити на 10 931,60 грн.:</w:t>
      </w:r>
    </w:p>
    <w:p w:rsidR="000E0AF6" w:rsidRPr="000E0AF6" w:rsidRDefault="000E0AF6" w:rsidP="000E0A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3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по коду 1115049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«Виконання окремих заходів з реалізації соціального проекту "Активні парки - локації здорової України" збільшити 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на 10 931,60 грн., з них: по КЕКВ 2111 «Заробітна плата» на 8 960,0 грн. та по КЕКВ 2120 «Нарахування на оплату праці» на 1 971,60 грн.;</w:t>
      </w:r>
    </w:p>
    <w:p w:rsidR="000E0AF6" w:rsidRPr="000E0AF6" w:rsidRDefault="000E0AF6" w:rsidP="000E0AF6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Управлінню будівництва, житлово-комунального господарства, інфраструктури та транспорту Броварської міської ради  Броварського району Київської області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збільшити на 94 976,0 грн.: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3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по коду 1216030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«Організація благоустрою населених пунктів» збільшити на 94 976,0 грн. (покриття витрат КП Бровари-Благоустрій за червень 2024 року за проживання на безоплатній основі тимчасово переміщених осіб у модульному містечку);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val="uk-UA" w:eastAsia="uk-UA"/>
        </w:rPr>
      </w:pPr>
    </w:p>
    <w:p w:rsidR="000E0AF6" w:rsidRPr="000E0AF6" w:rsidRDefault="000E0AF6" w:rsidP="000E0A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1.3. відповідно до постанови Кабінету Міністрів України від 4 жовтня 2024 року № 1145 «</w:t>
      </w:r>
      <w:r w:rsidRPr="000E0AF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 w:eastAsia="uk-UA"/>
        </w:rPr>
        <w:t>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році» та повідомлення № 52 від 07.10.2024 р. про зміни до річного розпису асигнувань державного бюджету на 2024 рік збільшити на 10 978 700,0 грн.:</w:t>
      </w:r>
    </w:p>
    <w:p w:rsidR="000E0AF6" w:rsidRPr="000E0AF6" w:rsidRDefault="000E0AF6" w:rsidP="000E0A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0E0AF6" w:rsidRPr="000E0AF6" w:rsidRDefault="000E0AF6" w:rsidP="000E0A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1.3.1.</w:t>
      </w: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Управлінню освіти і науки Броварської міської ради Броварського району Київської області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збільшити на 10 978 700,0 грн.:</w:t>
      </w:r>
    </w:p>
    <w:p w:rsidR="000E0AF6" w:rsidRPr="000E0AF6" w:rsidRDefault="000E0AF6" w:rsidP="000E0A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E0AF6" w:rsidRPr="000E0AF6" w:rsidRDefault="000E0AF6" w:rsidP="000E0AF6">
      <w:pPr>
        <w:numPr>
          <w:ilvl w:val="3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0611403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«Забезпечення харчуванням учнів початкових класів закладів загальної середньої освіти за рахунок субвенції з державного бюджету місцевому бюджету» КЕКВ 2230 «Продукти харчування» збільшити на 10 978 700,0 грн.;</w:t>
      </w:r>
    </w:p>
    <w:p w:rsidR="000E0AF6" w:rsidRPr="000E0AF6" w:rsidRDefault="000E0AF6" w:rsidP="000E0A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0E0AF6" w:rsidRPr="000E0AF6" w:rsidRDefault="000E0AF6" w:rsidP="000E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СПЕЦІАЛЬНИЙ ФОНД</w:t>
      </w:r>
    </w:p>
    <w:p w:rsidR="000E0AF6" w:rsidRPr="000E0AF6" w:rsidRDefault="000E0AF6" w:rsidP="000E0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Збільшити видаткову частину бюджету на 100 849 320,0 грн.: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1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рахунок залучення кредитних коштів від Акціонерного товариства «Державний експортно-імпортний банк України»  </w:t>
      </w:r>
      <w:r w:rsidRPr="000E0A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збільшити загальне фінансування на 100 849 320,0 грн.: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2"/>
          <w:numId w:val="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Управлінню будівництва, житлово-комунального господарства, інфраструктури та транспорту Броварської міської ради  Броварського району Київської області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збільшити на 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100 849 320,0 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грн.:</w:t>
      </w:r>
    </w:p>
    <w:p w:rsidR="000E0AF6" w:rsidRPr="000E0AF6" w:rsidRDefault="000E0AF6" w:rsidP="000E0A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0E0AF6" w:rsidRPr="000E0AF6" w:rsidRDefault="000E0AF6" w:rsidP="000E0AF6">
      <w:pPr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по коду 1217321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«Будівництво освітніх установ та закладів» на            100 849 320,0 грн. </w:t>
      </w:r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</w:rPr>
        <w:t>будівництва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</w:rPr>
        <w:t>капітального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 ремонту,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</w:rPr>
        <w:t>утримання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</w:rPr>
        <w:t>об'єктів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</w:rPr>
        <w:t>житлового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 фонду, благоустрою та </w:t>
      </w:r>
      <w:proofErr w:type="spellStart"/>
      <w:proofErr w:type="gramStart"/>
      <w:r w:rsidRPr="000E0AF6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0E0AF6">
        <w:rPr>
          <w:rFonts w:ascii="Times New Roman" w:eastAsia="Times New Roman" w:hAnsi="Times New Roman" w:cs="Times New Roman"/>
          <w:sz w:val="28"/>
          <w:szCs w:val="28"/>
        </w:rPr>
        <w:t>іально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-культурного 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Броварської міської територіальної громади</w:t>
      </w:r>
      <w:r w:rsidRPr="000E0AF6">
        <w:rPr>
          <w:rFonts w:ascii="Times New Roman" w:eastAsia="Times New Roman" w:hAnsi="Times New Roman" w:cs="Times New Roman"/>
          <w:sz w:val="28"/>
          <w:szCs w:val="28"/>
        </w:rPr>
        <w:t xml:space="preserve"> на 2019-2024 роки</w:t>
      </w: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0E0AF6" w:rsidRPr="000E0AF6" w:rsidRDefault="000E0AF6" w:rsidP="000E0A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E0AF6" w:rsidRPr="000E0AF6" w:rsidRDefault="000E0AF6" w:rsidP="000E0AF6">
      <w:pPr>
        <w:numPr>
          <w:ilvl w:val="4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по об’єкту:  «Будівництво загальноосвітньої школи І ступеню по вул. Петлюри Симона (</w:t>
      </w:r>
      <w:proofErr w:type="spellStart"/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Черняховського</w:t>
      </w:r>
      <w:proofErr w:type="spellEnd"/>
      <w:r w:rsidRPr="000E0AF6">
        <w:rPr>
          <w:rFonts w:ascii="Times New Roman" w:eastAsia="Times New Roman" w:hAnsi="Times New Roman" w:cs="Times New Roman"/>
          <w:sz w:val="28"/>
          <w:szCs w:val="28"/>
          <w:lang w:val="uk-UA"/>
        </w:rPr>
        <w:t>),17-Б в м. Бровари Київської області. Коригування»  100 849 320,0 грн.</w:t>
      </w:r>
    </w:p>
    <w:p w:rsidR="000E0AF6" w:rsidRPr="000E0AF6" w:rsidRDefault="000E0AF6" w:rsidP="000E0A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E0AF6" w:rsidRPr="000E0AF6" w:rsidRDefault="000E0AF6" w:rsidP="000E0A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bookmarkStart w:id="1" w:name="_GoBack"/>
      <w:bookmarkEnd w:id="1"/>
      <w:r w:rsidRPr="000E0A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фінансового управління                                Наталія  ПОСТЕРНАК</w:t>
      </w:r>
    </w:p>
    <w:p w:rsidR="009B7D79" w:rsidRPr="00244FF9" w:rsidRDefault="009B7D79" w:rsidP="000E0AF6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124DF"/>
    <w:multiLevelType w:val="multilevel"/>
    <w:tmpl w:val="8346A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b w:val="0"/>
        <w:color w:val="auto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68D4421"/>
    <w:multiLevelType w:val="multilevel"/>
    <w:tmpl w:val="C53C0A4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>
    <w:nsid w:val="187162BA"/>
    <w:multiLevelType w:val="multilevel"/>
    <w:tmpl w:val="D26E4B22"/>
    <w:lvl w:ilvl="0">
      <w:start w:val="1"/>
      <w:numFmt w:val="decimal"/>
      <w:lvlText w:val="%1."/>
      <w:lvlJc w:val="left"/>
      <w:pPr>
        <w:ind w:left="840" w:hanging="84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b/>
        <w:strike w:val="0"/>
        <w:dstrike w:val="0"/>
        <w:color w:val="auto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b w:val="0"/>
        <w:strike w:val="0"/>
        <w:dstrike w:val="0"/>
        <w:sz w:val="28"/>
        <w:szCs w:val="28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strike w:val="0"/>
        <w:dstrike w:val="0"/>
        <w:color w:val="auto"/>
        <w:sz w:val="28"/>
        <w:szCs w:val="28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single"/>
      </w:rPr>
    </w:lvl>
  </w:abstractNum>
  <w:abstractNum w:abstractNumId="4">
    <w:nsid w:val="2B8A15C0"/>
    <w:multiLevelType w:val="multilevel"/>
    <w:tmpl w:val="9B1888D6"/>
    <w:lvl w:ilvl="0">
      <w:start w:val="1"/>
      <w:numFmt w:val="decimal"/>
      <w:lvlText w:val="%1."/>
      <w:lvlJc w:val="left"/>
      <w:pPr>
        <w:ind w:left="630" w:hanging="630"/>
      </w:pPr>
      <w:rPr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 w:color="000000"/>
        <w:effect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strike w:val="0"/>
        <w:dstrike w:val="0"/>
        <w:color w:val="auto"/>
        <w:sz w:val="28"/>
        <w:szCs w:val="28"/>
        <w:u w:val="none" w:color="000000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strike w:val="0"/>
        <w:dstrike w:val="0"/>
        <w:u w:val="none" w:color="000000"/>
        <w:effect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u w:val="single"/>
      </w:rPr>
    </w:lvl>
  </w:abstractNum>
  <w:abstractNum w:abstractNumId="5">
    <w:nsid w:val="5D6D64AA"/>
    <w:multiLevelType w:val="multilevel"/>
    <w:tmpl w:val="4CF0F3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u w:val="single"/>
      </w:rPr>
    </w:lvl>
  </w:abstractNum>
  <w:abstractNum w:abstractNumId="6">
    <w:nsid w:val="6C9559E4"/>
    <w:multiLevelType w:val="hybridMultilevel"/>
    <w:tmpl w:val="AD6EE8D4"/>
    <w:lvl w:ilvl="0" w:tplc="4F9A3954">
      <w:start w:val="1"/>
      <w:numFmt w:val="decimal"/>
      <w:lvlText w:val="%1."/>
      <w:lvlJc w:val="left"/>
      <w:pPr>
        <w:ind w:left="1200" w:hanging="360"/>
      </w:pPr>
    </w:lvl>
    <w:lvl w:ilvl="1" w:tplc="04220019">
      <w:start w:val="1"/>
      <w:numFmt w:val="lowerLetter"/>
      <w:lvlText w:val="%2."/>
      <w:lvlJc w:val="left"/>
      <w:pPr>
        <w:ind w:left="1920" w:hanging="360"/>
      </w:pPr>
    </w:lvl>
    <w:lvl w:ilvl="2" w:tplc="0422001B">
      <w:start w:val="1"/>
      <w:numFmt w:val="lowerRoman"/>
      <w:lvlText w:val="%3."/>
      <w:lvlJc w:val="right"/>
      <w:pPr>
        <w:ind w:left="2640" w:hanging="180"/>
      </w:pPr>
    </w:lvl>
    <w:lvl w:ilvl="3" w:tplc="0422000F">
      <w:start w:val="1"/>
      <w:numFmt w:val="decimal"/>
      <w:lvlText w:val="%4."/>
      <w:lvlJc w:val="left"/>
      <w:pPr>
        <w:ind w:left="3360" w:hanging="360"/>
      </w:pPr>
    </w:lvl>
    <w:lvl w:ilvl="4" w:tplc="04220019">
      <w:start w:val="1"/>
      <w:numFmt w:val="lowerLetter"/>
      <w:lvlText w:val="%5."/>
      <w:lvlJc w:val="left"/>
      <w:pPr>
        <w:ind w:left="4080" w:hanging="360"/>
      </w:pPr>
    </w:lvl>
    <w:lvl w:ilvl="5" w:tplc="0422001B">
      <w:start w:val="1"/>
      <w:numFmt w:val="lowerRoman"/>
      <w:lvlText w:val="%6."/>
      <w:lvlJc w:val="right"/>
      <w:pPr>
        <w:ind w:left="4800" w:hanging="180"/>
      </w:pPr>
    </w:lvl>
    <w:lvl w:ilvl="6" w:tplc="0422000F">
      <w:start w:val="1"/>
      <w:numFmt w:val="decimal"/>
      <w:lvlText w:val="%7."/>
      <w:lvlJc w:val="left"/>
      <w:pPr>
        <w:ind w:left="5520" w:hanging="360"/>
      </w:pPr>
    </w:lvl>
    <w:lvl w:ilvl="7" w:tplc="04220019">
      <w:start w:val="1"/>
      <w:numFmt w:val="lowerLetter"/>
      <w:lvlText w:val="%8."/>
      <w:lvlJc w:val="left"/>
      <w:pPr>
        <w:ind w:left="6240" w:hanging="360"/>
      </w:pPr>
    </w:lvl>
    <w:lvl w:ilvl="8" w:tplc="0422001B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E0AF6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6582</Words>
  <Characters>3752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2024-10-16T10:36:00Z</dcterms:modified>
</cp:coreProperties>
</file>