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0AE" w:rsidRPr="00A20B3D" w:rsidRDefault="00FD60AE" w:rsidP="00FD60A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B3D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FD60AE" w:rsidRDefault="00FD60AE" w:rsidP="00A20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60AE"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 w:rsidRPr="00A20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внесення змін до рішення Броварської міської ради Броварського району Київської області від 12.12.2022 №918-38-08 </w:t>
      </w:r>
      <w:r w:rsidRPr="009D139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9D139E" w:rsidRPr="009D139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  <w:r w:rsidRPr="009D139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E0CEC" w:rsidRPr="007E0CEC" w:rsidRDefault="007E0CEC" w:rsidP="00A20B3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D60AE" w:rsidRDefault="00FD60AE" w:rsidP="00FD60AE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sz w:val="27"/>
          <w:szCs w:val="27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7E0CEC" w:rsidRPr="007E0CEC" w:rsidRDefault="007E0CEC" w:rsidP="00FD60AE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20B3D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b/>
          <w:sz w:val="27"/>
          <w:szCs w:val="27"/>
          <w:lang w:val="uk-UA"/>
        </w:rPr>
        <w:t>1. Обґрунтування необхідності прийняття рішення.</w:t>
      </w:r>
    </w:p>
    <w:p w:rsidR="00FD60AE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sz w:val="27"/>
          <w:szCs w:val="27"/>
          <w:lang w:val="uk-UA"/>
        </w:rPr>
        <w:t xml:space="preserve">Проект рішення підготовлено з метою забезпечення співвласників багатоквартирних будинків </w:t>
      </w:r>
      <w:r w:rsidR="00A20B3D" w:rsidRPr="00AF2167">
        <w:rPr>
          <w:rFonts w:ascii="Times New Roman" w:hAnsi="Times New Roman" w:cs="Times New Roman"/>
          <w:sz w:val="27"/>
          <w:szCs w:val="27"/>
          <w:lang w:val="uk-UA"/>
        </w:rPr>
        <w:t>незалежними</w:t>
      </w:r>
      <w:r w:rsidRPr="00AF2167">
        <w:rPr>
          <w:rFonts w:ascii="Times New Roman" w:hAnsi="Times New Roman" w:cs="Times New Roman"/>
          <w:sz w:val="27"/>
          <w:szCs w:val="27"/>
          <w:lang w:val="uk-UA"/>
        </w:rPr>
        <w:t xml:space="preserve"> джерелами електроенергії та з ціллю зниження фінансового навантаження на співвласників багатоквартирних будинків під час придбання таких приладів в умовах воєнного стану.</w:t>
      </w:r>
    </w:p>
    <w:p w:rsidR="00A20B3D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досягнення.</w:t>
      </w:r>
    </w:p>
    <w:p w:rsidR="00FD60AE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sz w:val="27"/>
          <w:szCs w:val="27"/>
          <w:lang w:val="uk-UA"/>
        </w:rPr>
        <w:t xml:space="preserve">З метою запобігання виникнення надзвичайних ситуацій у зимовий період, для забезпечення співвласників багатоквартирних будинків </w:t>
      </w:r>
      <w:r w:rsidR="00A20B3D" w:rsidRPr="00AF2167">
        <w:rPr>
          <w:rFonts w:ascii="Times New Roman" w:hAnsi="Times New Roman" w:cs="Times New Roman"/>
          <w:sz w:val="27"/>
          <w:szCs w:val="27"/>
          <w:lang w:val="uk-UA"/>
        </w:rPr>
        <w:t>незалежними</w:t>
      </w:r>
      <w:r w:rsidRPr="00AF2167">
        <w:rPr>
          <w:rFonts w:ascii="Times New Roman" w:hAnsi="Times New Roman" w:cs="Times New Roman"/>
          <w:sz w:val="27"/>
          <w:szCs w:val="27"/>
          <w:lang w:val="uk-UA"/>
        </w:rPr>
        <w:t xml:space="preserve"> джерелами електроенергії при проходженні опалювального сезону. Програма передбачає залучення коштів співвласників багатоквартирних будинків та бюджету Броварської міської територіальної громади для реалізації заходів із закупівлі та оснащення </w:t>
      </w:r>
      <w:r w:rsidR="009D139E" w:rsidRPr="00AF2167">
        <w:rPr>
          <w:rFonts w:ascii="Times New Roman" w:hAnsi="Times New Roman" w:cs="Times New Roman"/>
          <w:sz w:val="27"/>
          <w:szCs w:val="27"/>
          <w:lang w:val="uk-UA"/>
        </w:rPr>
        <w:t>незалежними джерелами електроенергії</w:t>
      </w:r>
      <w:r w:rsidRPr="00AF2167">
        <w:rPr>
          <w:rFonts w:ascii="Times New Roman" w:hAnsi="Times New Roman" w:cs="Times New Roman"/>
          <w:sz w:val="27"/>
          <w:szCs w:val="27"/>
          <w:lang w:val="uk-UA"/>
        </w:rPr>
        <w:t xml:space="preserve"> багатоквартирних будинків.</w:t>
      </w:r>
    </w:p>
    <w:p w:rsidR="00A20B3D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аспекти.</w:t>
      </w:r>
    </w:p>
    <w:p w:rsidR="00A20B3D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sz w:val="27"/>
          <w:szCs w:val="27"/>
          <w:lang w:val="uk-UA"/>
        </w:rPr>
        <w:t>Розроблено відповідно до пункту 7, статті 78 Бюджетного кодексу України, Законів України «Про місцеве самоврядування в Україні».</w:t>
      </w:r>
    </w:p>
    <w:p w:rsidR="00A20B3D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обґрунтування.</w:t>
      </w:r>
    </w:p>
    <w:p w:rsidR="00B94E3B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spacing w:val="-6"/>
          <w:sz w:val="27"/>
          <w:szCs w:val="27"/>
          <w:lang w:val="uk-UA"/>
        </w:rPr>
        <w:t>Обсяг фінансування на 2024</w:t>
      </w:r>
      <w:r w:rsidR="00B94E3B" w:rsidRPr="00AF2167">
        <w:rPr>
          <w:rFonts w:ascii="Times New Roman" w:hAnsi="Times New Roman" w:cs="Times New Roman"/>
          <w:spacing w:val="-6"/>
          <w:sz w:val="27"/>
          <w:szCs w:val="27"/>
          <w:lang w:val="uk-UA"/>
        </w:rPr>
        <w:t>-2025</w:t>
      </w:r>
      <w:r w:rsidRPr="00AF2167">
        <w:rPr>
          <w:rFonts w:ascii="Times New Roman" w:hAnsi="Times New Roman" w:cs="Times New Roman"/>
          <w:spacing w:val="-6"/>
          <w:sz w:val="27"/>
          <w:szCs w:val="27"/>
          <w:lang w:val="uk-UA"/>
        </w:rPr>
        <w:t xml:space="preserve"> рік по Програмі становить </w:t>
      </w:r>
      <w:r w:rsidR="00B94E3B" w:rsidRPr="00AF2167">
        <w:rPr>
          <w:rFonts w:ascii="Times New Roman" w:hAnsi="Times New Roman" w:cs="Times New Roman"/>
          <w:spacing w:val="-6"/>
          <w:sz w:val="27"/>
          <w:szCs w:val="27"/>
          <w:lang w:val="uk-UA"/>
        </w:rPr>
        <w:t>10</w:t>
      </w:r>
      <w:r w:rsidRPr="00AF2167">
        <w:rPr>
          <w:rFonts w:ascii="Times New Roman" w:hAnsi="Times New Roman" w:cs="Times New Roman"/>
          <w:spacing w:val="-6"/>
          <w:sz w:val="27"/>
          <w:szCs w:val="27"/>
          <w:lang w:val="uk-UA"/>
        </w:rPr>
        <w:t>00,00 тис.</w:t>
      </w:r>
      <w:r w:rsidR="00A20B3D" w:rsidRPr="00AF2167">
        <w:rPr>
          <w:rFonts w:ascii="Times New Roman" w:hAnsi="Times New Roman" w:cs="Times New Roman"/>
          <w:spacing w:val="-6"/>
          <w:sz w:val="27"/>
          <w:szCs w:val="27"/>
          <w:lang w:val="uk-UA"/>
        </w:rPr>
        <w:t xml:space="preserve"> </w:t>
      </w:r>
      <w:r w:rsidRPr="00AF2167">
        <w:rPr>
          <w:rFonts w:ascii="Times New Roman" w:hAnsi="Times New Roman" w:cs="Times New Roman"/>
          <w:spacing w:val="-6"/>
          <w:sz w:val="27"/>
          <w:szCs w:val="27"/>
          <w:lang w:val="uk-UA"/>
        </w:rPr>
        <w:t>грн.</w:t>
      </w:r>
    </w:p>
    <w:p w:rsidR="00A20B3D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результатів.</w:t>
      </w:r>
    </w:p>
    <w:p w:rsidR="00FD60AE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sz w:val="27"/>
          <w:szCs w:val="27"/>
          <w:lang w:val="uk-UA"/>
        </w:rPr>
        <w:t>Часткова компенсація вартості закупівлі незалежних джерел електроенергії.</w:t>
      </w:r>
    </w:p>
    <w:p w:rsidR="00A20B3D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b/>
          <w:sz w:val="27"/>
          <w:szCs w:val="27"/>
          <w:lang w:val="uk-UA"/>
        </w:rPr>
        <w:t>6. Суб’єкт подання проекту рішення.</w:t>
      </w:r>
    </w:p>
    <w:p w:rsidR="00FD60AE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sz w:val="27"/>
          <w:szCs w:val="27"/>
          <w:lang w:val="uk-UA"/>
        </w:rPr>
        <w:t>Управління будівництва, житлово</w:t>
      </w:r>
      <w:r w:rsidR="00B94E3B" w:rsidRPr="00AF2167"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AF2167">
        <w:rPr>
          <w:rFonts w:ascii="Times New Roman" w:hAnsi="Times New Roman" w:cs="Times New Roman"/>
          <w:sz w:val="27"/>
          <w:szCs w:val="27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області, начальник управління</w:t>
      </w:r>
      <w:bookmarkStart w:id="0" w:name="_GoBack"/>
      <w:bookmarkEnd w:id="0"/>
      <w:r w:rsidRPr="00AF216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20B3D" w:rsidRPr="00AF2167">
        <w:rPr>
          <w:rFonts w:ascii="Times New Roman" w:hAnsi="Times New Roman" w:cs="Times New Roman"/>
          <w:sz w:val="27"/>
          <w:szCs w:val="27"/>
          <w:lang w:val="uk-UA"/>
        </w:rPr>
        <w:t>Світлана</w:t>
      </w:r>
      <w:r w:rsidRPr="00AF216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20B3D" w:rsidRPr="00AF2167">
        <w:rPr>
          <w:rFonts w:ascii="Times New Roman" w:hAnsi="Times New Roman" w:cs="Times New Roman"/>
          <w:sz w:val="27"/>
          <w:szCs w:val="27"/>
          <w:lang w:val="uk-UA"/>
        </w:rPr>
        <w:t>РЕШЕТОВА</w:t>
      </w:r>
      <w:r w:rsidRPr="00AF2167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A20B3D" w:rsidRPr="00AF2167">
        <w:rPr>
          <w:rFonts w:ascii="Times New Roman" w:hAnsi="Times New Roman" w:cs="Times New Roman"/>
          <w:sz w:val="27"/>
          <w:szCs w:val="27"/>
          <w:lang w:val="uk-UA"/>
        </w:rPr>
        <w:t>Лариса</w:t>
      </w:r>
      <w:r w:rsidRPr="00AF216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20B3D" w:rsidRPr="00AF2167">
        <w:rPr>
          <w:rFonts w:ascii="Times New Roman" w:hAnsi="Times New Roman" w:cs="Times New Roman"/>
          <w:sz w:val="27"/>
          <w:szCs w:val="27"/>
          <w:lang w:val="uk-UA"/>
        </w:rPr>
        <w:t>ФЕДОТЬЄВА</w:t>
      </w:r>
      <w:r w:rsidRPr="00AF2167">
        <w:rPr>
          <w:rFonts w:ascii="Times New Roman" w:hAnsi="Times New Roman" w:cs="Times New Roman"/>
          <w:sz w:val="27"/>
          <w:szCs w:val="27"/>
          <w:lang w:val="uk-UA"/>
        </w:rPr>
        <w:t xml:space="preserve"> 6-12-59.</w:t>
      </w:r>
    </w:p>
    <w:p w:rsidR="00A20B3D" w:rsidRPr="00AF2167" w:rsidRDefault="00FD60AE" w:rsidP="009D139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F2167">
        <w:rPr>
          <w:rFonts w:ascii="Times New Roman" w:hAnsi="Times New Roman" w:cs="Times New Roman"/>
          <w:b/>
          <w:sz w:val="27"/>
          <w:szCs w:val="27"/>
          <w:lang w:val="uk-UA"/>
        </w:rPr>
        <w:t>7. Порівняльна таблиця</w:t>
      </w:r>
      <w:r w:rsidR="00A20B3D" w:rsidRPr="00AF2167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1871"/>
        <w:gridCol w:w="1814"/>
        <w:gridCol w:w="1950"/>
      </w:tblGrid>
      <w:tr w:rsidR="00B94E3B" w:rsidRPr="00B94E3B" w:rsidTr="00B94E3B">
        <w:tc>
          <w:tcPr>
            <w:tcW w:w="1951" w:type="dxa"/>
            <w:vMerge w:val="restart"/>
            <w:vAlign w:val="center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</w:t>
            </w:r>
          </w:p>
        </w:tc>
        <w:tc>
          <w:tcPr>
            <w:tcW w:w="1985" w:type="dxa"/>
            <w:vMerge w:val="restart"/>
            <w:vAlign w:val="center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5635" w:type="dxa"/>
            <w:gridSpan w:val="3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Часткова компенсація вартості закупівлі незалежних джерел електроенергії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</w:t>
            </w:r>
          </w:p>
        </w:tc>
      </w:tr>
      <w:tr w:rsidR="00B94E3B" w:rsidRPr="00B94E3B" w:rsidTr="00B94E3B">
        <w:tc>
          <w:tcPr>
            <w:tcW w:w="1951" w:type="dxa"/>
            <w:vMerge/>
          </w:tcPr>
          <w:p w:rsidR="00B94E3B" w:rsidRPr="00B94E3B" w:rsidRDefault="00B94E3B" w:rsidP="00A20B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B94E3B" w:rsidRPr="00B94E3B" w:rsidRDefault="00B94E3B" w:rsidP="00A20B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814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950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B94E3B" w:rsidRPr="00B94E3B" w:rsidTr="00B94E3B">
        <w:tc>
          <w:tcPr>
            <w:tcW w:w="1951" w:type="dxa"/>
          </w:tcPr>
          <w:p w:rsidR="00B94E3B" w:rsidRPr="00B94E3B" w:rsidRDefault="00B94E3B" w:rsidP="00A20B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2022-2023</w:t>
            </w:r>
          </w:p>
        </w:tc>
        <w:tc>
          <w:tcPr>
            <w:tcW w:w="1985" w:type="dxa"/>
            <w:vMerge w:val="restart"/>
            <w:vAlign w:val="center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71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1267,00</w:t>
            </w:r>
          </w:p>
        </w:tc>
        <w:tc>
          <w:tcPr>
            <w:tcW w:w="1814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1267,00</w:t>
            </w:r>
          </w:p>
        </w:tc>
      </w:tr>
      <w:tr w:rsidR="00B94E3B" w:rsidRPr="00B94E3B" w:rsidTr="00B94E3B">
        <w:tc>
          <w:tcPr>
            <w:tcW w:w="1951" w:type="dxa"/>
          </w:tcPr>
          <w:p w:rsidR="00B94E3B" w:rsidRPr="00B94E3B" w:rsidRDefault="00B94E3B" w:rsidP="00A20B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2023-2024</w:t>
            </w:r>
          </w:p>
        </w:tc>
        <w:tc>
          <w:tcPr>
            <w:tcW w:w="1985" w:type="dxa"/>
            <w:vMerge/>
          </w:tcPr>
          <w:p w:rsidR="00B94E3B" w:rsidRPr="00B94E3B" w:rsidRDefault="00B94E3B" w:rsidP="00A20B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122,00</w:t>
            </w:r>
          </w:p>
        </w:tc>
        <w:tc>
          <w:tcPr>
            <w:tcW w:w="1814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122,00</w:t>
            </w:r>
          </w:p>
        </w:tc>
      </w:tr>
      <w:tr w:rsidR="00B94E3B" w:rsidRPr="00B94E3B" w:rsidTr="00B94E3B">
        <w:tc>
          <w:tcPr>
            <w:tcW w:w="1951" w:type="dxa"/>
          </w:tcPr>
          <w:p w:rsidR="00B94E3B" w:rsidRPr="00B94E3B" w:rsidRDefault="00B94E3B" w:rsidP="00A20B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2024-2025</w:t>
            </w:r>
          </w:p>
        </w:tc>
        <w:tc>
          <w:tcPr>
            <w:tcW w:w="1985" w:type="dxa"/>
            <w:vMerge/>
          </w:tcPr>
          <w:p w:rsidR="00B94E3B" w:rsidRPr="00B94E3B" w:rsidRDefault="00B94E3B" w:rsidP="00A20B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814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+500,00</w:t>
            </w:r>
          </w:p>
        </w:tc>
        <w:tc>
          <w:tcPr>
            <w:tcW w:w="1950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</w:tr>
      <w:tr w:rsidR="00B94E3B" w:rsidRPr="00B94E3B" w:rsidTr="00B94E3B">
        <w:tc>
          <w:tcPr>
            <w:tcW w:w="1951" w:type="dxa"/>
          </w:tcPr>
          <w:p w:rsidR="00B94E3B" w:rsidRPr="00B94E3B" w:rsidRDefault="00B94E3B" w:rsidP="00A20B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85" w:type="dxa"/>
          </w:tcPr>
          <w:p w:rsidR="00B94E3B" w:rsidRPr="00B94E3B" w:rsidRDefault="00B94E3B" w:rsidP="00A20B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1889,00</w:t>
            </w:r>
          </w:p>
        </w:tc>
        <w:tc>
          <w:tcPr>
            <w:tcW w:w="1814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950" w:type="dxa"/>
          </w:tcPr>
          <w:p w:rsidR="00B94E3B" w:rsidRPr="00B94E3B" w:rsidRDefault="00B94E3B" w:rsidP="00B94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2389,00</w:t>
            </w:r>
          </w:p>
        </w:tc>
      </w:tr>
    </w:tbl>
    <w:p w:rsidR="00B94E3B" w:rsidRPr="00AF2167" w:rsidRDefault="00B94E3B" w:rsidP="00A20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D60AE" w:rsidRDefault="00FD60AE" w:rsidP="00A2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D60AE">
        <w:rPr>
          <w:rFonts w:ascii="Times New Roman" w:hAnsi="Times New Roman" w:cs="Times New Roman"/>
          <w:sz w:val="28"/>
          <w:szCs w:val="28"/>
          <w:lang w:val="uk-UA"/>
        </w:rPr>
        <w:t>ачальник управління будівництва,</w:t>
      </w:r>
    </w:p>
    <w:p w:rsidR="00FD60AE" w:rsidRDefault="00FD60AE" w:rsidP="00A2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0AE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господарства,</w:t>
      </w:r>
    </w:p>
    <w:p w:rsidR="009B7D79" w:rsidRPr="00FD60AE" w:rsidRDefault="00FD60AE" w:rsidP="00A2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0AE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Світлана РЕШЕТОВА</w:t>
      </w:r>
    </w:p>
    <w:sectPr w:rsidR="009B7D79" w:rsidRPr="00FD60A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20E21"/>
    <w:rsid w:val="000B239F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0CEC"/>
    <w:rsid w:val="007E7FBA"/>
    <w:rsid w:val="00827775"/>
    <w:rsid w:val="00881846"/>
    <w:rsid w:val="009B7D79"/>
    <w:rsid w:val="009C0EEF"/>
    <w:rsid w:val="009D139E"/>
    <w:rsid w:val="00A20B3D"/>
    <w:rsid w:val="00A218AE"/>
    <w:rsid w:val="00AF2167"/>
    <w:rsid w:val="00B35D4C"/>
    <w:rsid w:val="00B46089"/>
    <w:rsid w:val="00B80167"/>
    <w:rsid w:val="00B94E3B"/>
    <w:rsid w:val="00BF6942"/>
    <w:rsid w:val="00D5049E"/>
    <w:rsid w:val="00D92C45"/>
    <w:rsid w:val="00DD7BFD"/>
    <w:rsid w:val="00FC33D9"/>
    <w:rsid w:val="00F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44AE"/>
  <w15:docId w15:val="{0CF8CF73-B799-4524-9B03-8F4F8E3E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A20B3D"/>
    <w:pPr>
      <w:ind w:left="720"/>
      <w:contextualSpacing/>
    </w:pPr>
  </w:style>
  <w:style w:type="table" w:styleId="a6">
    <w:name w:val="Table Grid"/>
    <w:basedOn w:val="a1"/>
    <w:uiPriority w:val="59"/>
    <w:unhideWhenUsed/>
    <w:rsid w:val="00B9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20</cp:revision>
  <cp:lastPrinted>2024-09-04T13:24:00Z</cp:lastPrinted>
  <dcterms:created xsi:type="dcterms:W3CDTF">2021-03-03T14:03:00Z</dcterms:created>
  <dcterms:modified xsi:type="dcterms:W3CDTF">2024-09-04T13:28:00Z</dcterms:modified>
</cp:coreProperties>
</file>