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ПС-313</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pStyle w:val="NoSpacing"/>
        <w:jc w:val="center"/>
        <w:rPr>
          <w:rFonts w:ascii="Times New Roman" w:hAnsi="Times New Roman"/>
          <w:b/>
          <w:sz w:val="28"/>
          <w:szCs w:val="28"/>
        </w:rPr>
      </w:pPr>
      <w:r>
        <w:rPr>
          <w:rFonts w:ascii="Times New Roman" w:hAnsi="Times New Roman"/>
          <w:b/>
          <w:sz w:val="28"/>
          <w:szCs w:val="28"/>
        </w:rPr>
        <w:t>СТАТУТ</w:t>
      </w:r>
    </w:p>
    <w:p>
      <w:pPr>
        <w:pStyle w:val="NoSpacing"/>
        <w:jc w:val="center"/>
        <w:rPr>
          <w:rFonts w:ascii="Times New Roman" w:hAnsi="Times New Roman"/>
          <w:b/>
          <w:sz w:val="28"/>
          <w:szCs w:val="28"/>
        </w:rPr>
      </w:pPr>
      <w:r>
        <w:rPr>
          <w:rFonts w:ascii="Times New Roman" w:hAnsi="Times New Roman"/>
          <w:b/>
          <w:sz w:val="28"/>
        </w:rPr>
        <w:t xml:space="preserve">комунального закладу </w:t>
      </w:r>
    </w:p>
    <w:p>
      <w:pPr>
        <w:pStyle w:val="NoSpacing"/>
        <w:jc w:val="center"/>
        <w:rPr>
          <w:rFonts w:ascii="Times New Roman" w:hAnsi="Times New Roman"/>
          <w:b/>
          <w:sz w:val="28"/>
          <w:szCs w:val="28"/>
        </w:rPr>
      </w:pPr>
      <w:r>
        <w:rPr>
          <w:rFonts w:ascii="Times New Roman" w:hAnsi="Times New Roman"/>
          <w:b/>
          <w:sz w:val="28"/>
          <w:szCs w:val="28"/>
        </w:rPr>
        <w:t>«</w:t>
      </w:r>
      <w:r>
        <w:rPr>
          <w:rFonts w:ascii="Times New Roman" w:hAnsi="Times New Roman"/>
          <w:b/>
          <w:sz w:val="28"/>
        </w:rPr>
        <w:t xml:space="preserve">Культурно-інноваційна платформа </w:t>
      </w:r>
      <w:r>
        <w:rPr>
          <w:rFonts w:ascii="Times New Roman" w:hAnsi="Times New Roman"/>
          <w:b/>
          <w:sz w:val="28"/>
          <w:szCs w:val="28"/>
        </w:rPr>
        <w:t>«ТепЛиця»</w:t>
      </w:r>
    </w:p>
    <w:p>
      <w:pPr>
        <w:pStyle w:val="NoSpacing"/>
        <w:jc w:val="center"/>
        <w:rPr>
          <w:rFonts w:ascii="Times New Roman" w:hAnsi="Times New Roman"/>
          <w:b/>
          <w:sz w:val="28"/>
          <w:szCs w:val="28"/>
        </w:rPr>
      </w:pPr>
      <w:r>
        <w:rPr>
          <w:rFonts w:ascii="Times New Roman" w:hAnsi="Times New Roman"/>
          <w:b/>
          <w:sz w:val="28"/>
          <w:szCs w:val="28"/>
        </w:rPr>
        <w:t>Броварської міської ради Броварського району</w:t>
      </w:r>
    </w:p>
    <w:p>
      <w:pPr>
        <w:pStyle w:val="NoSpacing"/>
        <w:jc w:val="center"/>
        <w:rPr>
          <w:rFonts w:ascii="Times New Roman" w:hAnsi="Times New Roman"/>
          <w:b/>
          <w:sz w:val="28"/>
          <w:szCs w:val="28"/>
        </w:rPr>
      </w:pPr>
      <w:r>
        <w:rPr>
          <w:rFonts w:ascii="Times New Roman" w:hAnsi="Times New Roman"/>
          <w:b/>
          <w:sz w:val="28"/>
          <w:szCs w:val="28"/>
        </w:rPr>
        <w:t>Київської області</w:t>
      </w:r>
    </w:p>
    <w:p>
      <w:pPr>
        <w:pStyle w:val="NoSpacing"/>
        <w:jc w:val="center"/>
        <w:rPr>
          <w:rFonts w:ascii="Times New Roman" w:hAnsi="Times New Roman"/>
          <w:b/>
          <w:bCs/>
          <w:sz w:val="28"/>
          <w:szCs w:val="28"/>
        </w:rPr>
      </w:pPr>
      <w:r>
        <w:rPr>
          <w:rFonts w:ascii="Times New Roman" w:hAnsi="Times New Roman"/>
          <w:b/>
          <w:bCs/>
          <w:sz w:val="28"/>
          <w:szCs w:val="28"/>
          <w:lang w:val="ru-RU"/>
        </w:rPr>
        <w:t>(нова</w:t>
      </w:r>
      <w:r>
        <w:rPr>
          <w:rFonts w:ascii="Times New Roman" w:hAnsi="Times New Roman"/>
          <w:b/>
          <w:bCs/>
          <w:sz w:val="28"/>
          <w:szCs w:val="28"/>
        </w:rPr>
        <w:t xml:space="preserve"> редакція)</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pStyle w:val="NoSpacing"/>
        <w:jc w:val="center"/>
        <w:rPr>
          <w:rFonts w:ascii="Times New Roman" w:hAnsi="Times New Roman"/>
          <w:sz w:val="26"/>
          <w:szCs w:val="26"/>
        </w:rPr>
      </w:pPr>
      <w:r>
        <w:rPr>
          <w:rFonts w:ascii="Times New Roman" w:hAnsi="Times New Roman"/>
          <w:sz w:val="26"/>
          <w:szCs w:val="26"/>
        </w:rPr>
        <w:t>м. Бровари</w:t>
      </w:r>
    </w:p>
    <w:p>
      <w:pPr>
        <w:pStyle w:val="NoSpacing"/>
        <w:jc w:val="center"/>
        <w:rPr>
          <w:rFonts w:ascii="Times New Roman" w:hAnsi="Times New Roman"/>
          <w:sz w:val="26"/>
          <w:szCs w:val="26"/>
        </w:rPr>
      </w:pPr>
      <w:r>
        <w:rPr>
          <w:rFonts w:ascii="Times New Roman" w:hAnsi="Times New Roman"/>
          <w:sz w:val="26"/>
          <w:szCs w:val="26"/>
        </w:rPr>
        <w:t>2024 рік</w:t>
      </w:r>
    </w:p>
    <w:p>
      <w:pPr>
        <w:spacing w:beforeAutospacing="0" w:after="0" w:afterAutospacing="0"/>
        <w:rPr>
          <w:rFonts w:ascii="Times New Roman" w:hAnsi="Times New Roman"/>
          <w:b/>
          <w:bCs/>
          <w:sz w:val="28"/>
          <w:szCs w:val="28"/>
        </w:rPr>
      </w:pPr>
    </w:p>
    <w:p>
      <w:pPr>
        <w:spacing w:beforeAutospacing="0" w:after="0" w:afterAutospacing="0"/>
        <w:rPr>
          <w:rFonts w:ascii="Times New Roman" w:hAnsi="Times New Roman"/>
          <w:b/>
          <w:bCs/>
          <w:sz w:val="28"/>
          <w:szCs w:val="28"/>
        </w:rPr>
      </w:pPr>
    </w:p>
    <w:p>
      <w:pPr>
        <w:spacing w:beforeAutospacing="0" w:after="0" w:afterAutospacing="0"/>
        <w:rPr>
          <w:rFonts w:ascii="Times New Roman" w:hAnsi="Times New Roman"/>
          <w:b/>
          <w:bCs/>
          <w:sz w:val="28"/>
          <w:szCs w:val="28"/>
        </w:rPr>
      </w:pPr>
    </w:p>
    <w:p>
      <w:pPr>
        <w:spacing w:beforeAutospacing="0" w:after="0" w:afterAutospacing="0"/>
        <w:rPr>
          <w:rFonts w:ascii="Times New Roman" w:hAnsi="Times New Roman"/>
          <w:b/>
          <w:bCs/>
          <w:sz w:val="28"/>
          <w:szCs w:val="28"/>
        </w:rPr>
      </w:pPr>
    </w:p>
    <w:p>
      <w:pPr>
        <w:ind w:firstLine="567"/>
        <w:jc w:val="center"/>
        <w:rPr>
          <w:rFonts w:ascii="Times New Roman" w:hAnsi="Times New Roman"/>
          <w:b/>
          <w:bCs/>
          <w:sz w:val="28"/>
          <w:szCs w:val="28"/>
        </w:rPr>
      </w:pPr>
      <w:r>
        <w:rPr>
          <w:rFonts w:ascii="Times New Roman" w:hAnsi="Times New Roman"/>
          <w:b/>
          <w:bCs/>
          <w:sz w:val="28"/>
          <w:szCs w:val="28"/>
        </w:rPr>
        <w:t xml:space="preserve"> 1. ЗАГАЛЬНІ ПОЛОЖЕННЯ </w:t>
      </w:r>
    </w:p>
    <w:p>
      <w:pPr>
        <w:tabs>
          <w:tab w:val="left" w:pos="0"/>
        </w:tabs>
        <w:ind w:firstLine="567"/>
        <w:jc w:val="both"/>
        <w:rPr>
          <w:rFonts w:ascii="Times New Roman" w:hAnsi="Times New Roman"/>
          <w:sz w:val="28"/>
          <w:szCs w:val="28"/>
        </w:rPr>
      </w:pPr>
      <w:r>
        <w:rPr>
          <w:rFonts w:ascii="Times New Roman" w:hAnsi="Times New Roman"/>
          <w:sz w:val="28"/>
          <w:szCs w:val="28"/>
        </w:rPr>
        <w:t>1.1 Комунальний заклад «Культурно-інноваційна платформа «ТепЛиця» Броварської міської ради Броварського району Київської області (далі - Заклад), заснований на базі відокремленої частини майна комунальної власності Броварської міської територіальної громади, утворений та зареєстрований в порядку визначеному законом, що регулює діяльність неприбуткової організації. Заклад внесений контролюючим органом до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pPr>
        <w:tabs>
          <w:tab w:val="left" w:pos="0"/>
        </w:tabs>
        <w:ind w:firstLine="567"/>
        <w:jc w:val="both"/>
        <w:rPr>
          <w:rFonts w:ascii="Times New Roman" w:hAnsi="Times New Roman"/>
          <w:sz w:val="28"/>
          <w:szCs w:val="28"/>
        </w:rPr>
      </w:pPr>
      <w:r>
        <w:rPr>
          <w:rFonts w:ascii="Times New Roman" w:hAnsi="Times New Roman"/>
          <w:sz w:val="28"/>
          <w:szCs w:val="28"/>
        </w:rPr>
        <w:t>1.2 Засновником (власником) Закладу є Броварська міська територіальна громада (далі - територіальна громада) в особі Броварської міської ради Броварського району Київської області (надалі - Засновник).</w:t>
      </w:r>
    </w:p>
    <w:p>
      <w:pPr>
        <w:tabs>
          <w:tab w:val="left" w:pos="567"/>
        </w:tabs>
        <w:ind w:firstLine="567"/>
        <w:jc w:val="both"/>
        <w:rPr>
          <w:rFonts w:ascii="Times New Roman" w:hAnsi="Times New Roman"/>
          <w:sz w:val="28"/>
          <w:szCs w:val="28"/>
        </w:rPr>
      </w:pPr>
      <w:r>
        <w:rPr>
          <w:rFonts w:ascii="Times New Roman" w:hAnsi="Times New Roman"/>
          <w:sz w:val="28"/>
          <w:szCs w:val="28"/>
        </w:rPr>
        <w:t>1.3 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1.4 </w:t>
      </w:r>
      <w:r>
        <w:rPr>
          <w:rFonts w:ascii="Times New Roman" w:hAnsi="Times New Roman"/>
          <w:sz w:val="28"/>
        </w:rPr>
        <w:t>Ш</w:t>
      </w:r>
      <w:r>
        <w:rPr>
          <w:rFonts w:ascii="Times New Roman" w:hAnsi="Times New Roman"/>
          <w:sz w:val="28"/>
          <w:szCs w:val="28"/>
        </w:rPr>
        <w:t xml:space="preserve">татний розпис формується Закладом та затверджується Органом </w:t>
      </w:r>
      <w:r>
        <w:rPr>
          <w:rFonts w:ascii="Times New Roman" w:hAnsi="Times New Roman"/>
          <w:sz w:val="28"/>
          <w:szCs w:val="28"/>
          <w:lang w:val="ru-RU"/>
        </w:rPr>
        <w:t>у</w:t>
      </w:r>
      <w:r>
        <w:rPr>
          <w:rFonts w:ascii="Times New Roman" w:hAnsi="Times New Roman"/>
          <w:sz w:val="28"/>
          <w:szCs w:val="28"/>
        </w:rPr>
        <w:t xml:space="preserve">правління, як головним розпорядником бюджетних коштів. </w:t>
      </w:r>
      <w:r>
        <w:rPr>
          <w:rFonts w:ascii="Times New Roman" w:hAnsi="Times New Roman"/>
          <w:sz w:val="28"/>
        </w:rPr>
        <w:t>Структура та з</w:t>
      </w:r>
      <w:r>
        <w:rPr>
          <w:rFonts w:ascii="Times New Roman" w:hAnsi="Times New Roman"/>
          <w:sz w:val="28"/>
          <w:szCs w:val="28"/>
        </w:rPr>
        <w:t>агальна штатна чисельність затверджується Засновником, що  додається.</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1.5 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наказами управління культури, сім’ї та молоді Броварської міської ради Броварського району Київської області, </w:t>
      </w:r>
      <w:r>
        <w:rPr>
          <w:rFonts w:ascii="Times New Roman" w:hAnsi="Times New Roman"/>
          <w:color w:val="000000"/>
          <w:sz w:val="28"/>
          <w:szCs w:val="28"/>
        </w:rPr>
        <w:t>цим Статутом</w:t>
      </w:r>
      <w:r>
        <w:rPr>
          <w:rFonts w:ascii="Times New Roman" w:hAnsi="Times New Roman"/>
          <w:sz w:val="28"/>
          <w:szCs w:val="28"/>
        </w:rPr>
        <w:t xml:space="preserve"> та іншими нормативно-правовими актами, що регулюють діяльність у галузі культури та молодіжної політики.</w:t>
      </w:r>
    </w:p>
    <w:p>
      <w:pPr>
        <w:tabs>
          <w:tab w:val="left" w:pos="0"/>
        </w:tabs>
        <w:ind w:firstLine="567"/>
        <w:jc w:val="both"/>
        <w:rPr>
          <w:rFonts w:ascii="Times New Roman" w:hAnsi="Times New Roman"/>
          <w:sz w:val="28"/>
          <w:szCs w:val="28"/>
        </w:rPr>
      </w:pPr>
      <w:r>
        <w:rPr>
          <w:rFonts w:ascii="Times New Roman" w:hAnsi="Times New Roman"/>
          <w:sz w:val="28"/>
          <w:szCs w:val="28"/>
        </w:rPr>
        <w:t>1.6 Повне найменування Закладу - Комунальний заклад «Культурно-інноваційна платформа «ТепЛиця» Броварської міської ради Броварського району Київської області, (англ.: CI «C&amp;IP «TepLytsia» (Communal institution  «Сultural and innovative platform «TepLytsia» of Brovar city council of Brovar district of Kyiv region).</w:t>
      </w:r>
    </w:p>
    <w:p>
      <w:pPr>
        <w:tabs>
          <w:tab w:val="left" w:pos="0"/>
        </w:tabs>
        <w:ind w:firstLine="567"/>
        <w:jc w:val="both"/>
        <w:rPr>
          <w:rFonts w:ascii="Times New Roman" w:hAnsi="Times New Roman"/>
          <w:sz w:val="28"/>
          <w:szCs w:val="28"/>
        </w:rPr>
      </w:pPr>
      <w:r>
        <w:rPr>
          <w:rFonts w:ascii="Times New Roman" w:hAnsi="Times New Roman"/>
          <w:sz w:val="28"/>
          <w:szCs w:val="28"/>
        </w:rPr>
        <w:t>1.7 Скорочене найменування Закладу - КЗ «КІП «ТепЛиця» (англ.: CI «C&amp;IP «TepLytsia»).</w:t>
      </w:r>
    </w:p>
    <w:p>
      <w:pPr>
        <w:tabs>
          <w:tab w:val="left" w:pos="0"/>
        </w:tabs>
        <w:ind w:firstLine="567"/>
        <w:jc w:val="both"/>
        <w:rPr>
          <w:rFonts w:ascii="Times New Roman" w:hAnsi="Times New Roman"/>
          <w:sz w:val="28"/>
          <w:szCs w:val="28"/>
        </w:rPr>
      </w:pPr>
      <w:r>
        <w:rPr>
          <w:rFonts w:ascii="Times New Roman" w:hAnsi="Times New Roman"/>
          <w:sz w:val="28"/>
          <w:szCs w:val="28"/>
        </w:rPr>
        <w:t>1.8 Юридична адреса Закладу: 07400 Київська область, Броварський район, місто Бровари, бульвар  Незалежності, 4. Код ЄДРПОУ 43202523.</w:t>
      </w:r>
    </w:p>
    <w:p>
      <w:pPr>
        <w:tabs>
          <w:tab w:val="left" w:pos="0"/>
        </w:tabs>
        <w:ind w:firstLine="567"/>
        <w:jc w:val="both"/>
        <w:rPr>
          <w:rFonts w:ascii="Times New Roman" w:hAnsi="Times New Roman"/>
          <w:sz w:val="28"/>
          <w:szCs w:val="28"/>
        </w:rPr>
      </w:pPr>
      <w:r>
        <w:rPr>
          <w:rFonts w:ascii="Times New Roman" w:hAnsi="Times New Roman"/>
          <w:sz w:val="28"/>
          <w:szCs w:val="28"/>
        </w:rPr>
        <w:t>1.9 Заклад є юридичною особою, має бланк, самостійний баланс. Права та обов’язки юридичної особи Заклад набуває з дня його державної реєстрації.</w:t>
      </w:r>
    </w:p>
    <w:p>
      <w:pPr>
        <w:tabs>
          <w:tab w:val="left" w:pos="0"/>
        </w:tabs>
        <w:ind w:firstLine="567"/>
        <w:jc w:val="both"/>
        <w:rPr>
          <w:rFonts w:ascii="Times New Roman" w:hAnsi="Times New Roman"/>
          <w:sz w:val="28"/>
          <w:szCs w:val="28"/>
        </w:rPr>
      </w:pPr>
      <w:r>
        <w:rPr>
          <w:rFonts w:ascii="Times New Roman" w:hAnsi="Times New Roman"/>
          <w:sz w:val="28"/>
          <w:szCs w:val="28"/>
        </w:rPr>
        <w:t xml:space="preserve">1.10 Засновник та уповноважений ним Орган </w:t>
      </w:r>
      <w:r>
        <w:rPr>
          <w:rFonts w:ascii="Times New Roman" w:hAnsi="Times New Roman"/>
          <w:sz w:val="28"/>
          <w:szCs w:val="28"/>
          <w:lang w:val="ru-RU"/>
        </w:rPr>
        <w:t>у</w:t>
      </w:r>
      <w:r>
        <w:rPr>
          <w:rFonts w:ascii="Times New Roman" w:hAnsi="Times New Roman"/>
          <w:sz w:val="28"/>
          <w:szCs w:val="28"/>
        </w:rPr>
        <w:t xml:space="preserve">правління не відповідають за зобов’язаннями Закладу, а Заклад не відповідає за зобов’язаннями Засновника та уповноваженого Органу </w:t>
      </w:r>
      <w:r>
        <w:rPr>
          <w:rFonts w:ascii="Times New Roman" w:hAnsi="Times New Roman"/>
          <w:sz w:val="28"/>
          <w:szCs w:val="28"/>
          <w:lang w:val="ru-RU"/>
        </w:rPr>
        <w:t>у</w:t>
      </w:r>
      <w:r>
        <w:rPr>
          <w:rFonts w:ascii="Times New Roman" w:hAnsi="Times New Roman"/>
          <w:sz w:val="28"/>
          <w:szCs w:val="28"/>
        </w:rPr>
        <w:t>правління, окрім випадків, передбачених законодавством.</w:t>
      </w:r>
    </w:p>
    <w:p>
      <w:pPr>
        <w:tabs>
          <w:tab w:val="left" w:pos="0"/>
        </w:tabs>
        <w:ind w:firstLine="567"/>
        <w:jc w:val="both"/>
        <w:rPr>
          <w:rFonts w:ascii="Times New Roman" w:hAnsi="Times New Roman"/>
          <w:sz w:val="28"/>
          <w:szCs w:val="28"/>
        </w:rPr>
      </w:pPr>
      <w:r>
        <w:rPr>
          <w:rFonts w:ascii="Times New Roman" w:hAnsi="Times New Roman"/>
          <w:sz w:val="28"/>
          <w:szCs w:val="28"/>
        </w:rPr>
        <w:t>1.11 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w:t>
      </w:r>
    </w:p>
    <w:p>
      <w:pPr>
        <w:tabs>
          <w:tab w:val="left" w:pos="0"/>
        </w:tabs>
        <w:ind w:firstLine="567"/>
        <w:jc w:val="both"/>
        <w:rPr>
          <w:rFonts w:ascii="Times New Roman" w:hAnsi="Times New Roman"/>
          <w:sz w:val="28"/>
          <w:szCs w:val="28"/>
        </w:rPr>
      </w:pPr>
      <w:r>
        <w:rPr>
          <w:rFonts w:ascii="Times New Roman" w:hAnsi="Times New Roman"/>
          <w:sz w:val="28"/>
          <w:szCs w:val="28"/>
        </w:rPr>
        <w:t>1.12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pPr>
        <w:tabs>
          <w:tab w:val="left" w:pos="0"/>
        </w:tabs>
        <w:ind w:firstLine="567"/>
        <w:jc w:val="both"/>
        <w:rPr>
          <w:rFonts w:ascii="Times New Roman" w:hAnsi="Times New Roman"/>
          <w:sz w:val="28"/>
          <w:szCs w:val="28"/>
        </w:rPr>
      </w:pPr>
      <w:r>
        <w:rPr>
          <w:rFonts w:ascii="Times New Roman" w:hAnsi="Times New Roman"/>
          <w:color w:val="000000"/>
          <w:sz w:val="28"/>
          <w:szCs w:val="28"/>
        </w:rPr>
        <w:t>1.13 Статут Закладу затверджується рішенням</w:t>
      </w:r>
      <w:r>
        <w:rPr>
          <w:rFonts w:ascii="Times New Roman" w:hAnsi="Times New Roman"/>
          <w:color w:val="000000"/>
          <w:sz w:val="28"/>
          <w:szCs w:val="28"/>
          <w:lang w:val="ru-RU"/>
        </w:rPr>
        <w:t xml:space="preserve"> </w:t>
      </w:r>
      <w:r>
        <w:rPr>
          <w:rFonts w:ascii="Times New Roman" w:hAnsi="Times New Roman"/>
          <w:color w:val="000000"/>
          <w:sz w:val="28"/>
          <w:szCs w:val="28"/>
        </w:rPr>
        <w:t>Засновника і є</w:t>
      </w:r>
      <w:r>
        <w:rPr>
          <w:rFonts w:ascii="Times New Roman" w:hAnsi="Times New Roman"/>
          <w:color w:val="000000"/>
          <w:sz w:val="28"/>
          <w:szCs w:val="28"/>
          <w:lang w:val="ru-RU"/>
        </w:rPr>
        <w:t xml:space="preserve"> </w:t>
      </w:r>
      <w:r>
        <w:rPr>
          <w:rFonts w:ascii="Times New Roman" w:hAnsi="Times New Roman"/>
          <w:color w:val="000000"/>
          <w:sz w:val="28"/>
          <w:szCs w:val="28"/>
        </w:rPr>
        <w:t>основним документом, що регулює діяльність Закладу.</w:t>
      </w:r>
    </w:p>
    <w:p>
      <w:pPr>
        <w:tabs>
          <w:tab w:val="left" w:pos="0"/>
        </w:tabs>
        <w:ind w:firstLine="567"/>
        <w:jc w:val="both"/>
        <w:rPr>
          <w:rFonts w:ascii="Times New Roman" w:hAnsi="Times New Roman"/>
          <w:sz w:val="28"/>
          <w:szCs w:val="28"/>
        </w:rPr>
      </w:pPr>
      <w:r>
        <w:rPr>
          <w:rFonts w:ascii="Times New Roman" w:hAnsi="Times New Roman"/>
          <w:sz w:val="28"/>
          <w:szCs w:val="28"/>
        </w:rPr>
        <w:t>1.14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pPr>
        <w:tabs>
          <w:tab w:val="left" w:pos="0"/>
        </w:tabs>
        <w:ind w:firstLine="567"/>
        <w:jc w:val="both"/>
        <w:rPr>
          <w:rFonts w:ascii="Times New Roman" w:hAnsi="Times New Roman"/>
          <w:sz w:val="28"/>
          <w:szCs w:val="28"/>
        </w:rPr>
      </w:pPr>
      <w:r>
        <w:rPr>
          <w:rFonts w:ascii="Times New Roman" w:hAnsi="Times New Roman"/>
          <w:sz w:val="28"/>
          <w:szCs w:val="28"/>
        </w:rPr>
        <w:t>1.15 Зміни та доповнення до Статуту затверджуються і погоджуються з начальником Органу управління в тому порядку, що і сам Статут.</w:t>
      </w:r>
    </w:p>
    <w:p>
      <w:pPr>
        <w:tabs>
          <w:tab w:val="left" w:pos="0"/>
        </w:tabs>
        <w:ind w:firstLine="567"/>
        <w:jc w:val="both"/>
        <w:rPr>
          <w:rFonts w:ascii="Times New Roman" w:hAnsi="Times New Roman"/>
          <w:sz w:val="28"/>
          <w:szCs w:val="28"/>
        </w:rPr>
      </w:pPr>
    </w:p>
    <w:p>
      <w:pPr>
        <w:tabs>
          <w:tab w:val="left" w:pos="567"/>
        </w:tabs>
        <w:ind w:firstLine="567"/>
        <w:jc w:val="center"/>
        <w:rPr>
          <w:rFonts w:ascii="Times New Roman" w:hAnsi="Times New Roman"/>
          <w:b/>
          <w:bCs/>
          <w:sz w:val="28"/>
          <w:szCs w:val="28"/>
        </w:rPr>
      </w:pPr>
      <w:r>
        <w:rPr>
          <w:rFonts w:ascii="Times New Roman" w:hAnsi="Times New Roman"/>
          <w:b/>
          <w:sz w:val="28"/>
          <w:szCs w:val="28"/>
        </w:rPr>
        <w:t xml:space="preserve"> 2. </w:t>
      </w:r>
      <w:r>
        <w:rPr>
          <w:rFonts w:ascii="Times New Roman" w:hAnsi="Times New Roman"/>
          <w:b/>
          <w:bCs/>
          <w:sz w:val="28"/>
          <w:szCs w:val="28"/>
        </w:rPr>
        <w:t>ГОЛОВНА МЕТА, ПРІОРІТЕТНІ НАПРЯМКИ РОБОТИ, ФУНКЦІЇ ТА ГОЛОВНІ ЗАВДАННЯ. ВИДИ ДІЯЛЬНОСТІ ЗАКЛАДУ.</w:t>
      </w:r>
    </w:p>
    <w:p>
      <w:pPr>
        <w:pStyle w:val="1"/>
        <w:shd w:val="clear" w:color="auto" w:fill="auto"/>
        <w:tabs>
          <w:tab w:val="left" w:pos="1157"/>
        </w:tabs>
        <w:ind w:firstLine="567"/>
        <w:jc w:val="both"/>
      </w:pPr>
      <w:r>
        <w:rPr>
          <w:bCs/>
        </w:rPr>
        <w:t>2.1 Головна мета</w:t>
      </w:r>
      <w:r>
        <w:t xml:space="preserve"> діяльності Закладу: реалізація державної політики у сфері дозвілля та відпочинку жителів територіальної громади, задоволення культурних та духовних потреб населення, збереження народних культурних традицій,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сприяння соціалізації та самореалізації молоді, інтелектуальному, моральному, духовному розвитку, реалізації її творчого потенціалу та національно-патріотичному вихованню, популяризації здорового способу життя, працевлаштуванню та зайнятості у вільний час, молодіжному підприємництву, забезпеченню громадянської освіти молоді.</w:t>
      </w:r>
    </w:p>
    <w:p>
      <w:pPr>
        <w:pStyle w:val="1"/>
        <w:shd w:val="clear" w:color="auto" w:fill="auto"/>
        <w:tabs>
          <w:tab w:val="left" w:pos="1157"/>
        </w:tabs>
        <w:ind w:left="567" w:firstLine="0"/>
        <w:jc w:val="both"/>
      </w:pPr>
    </w:p>
    <w:p>
      <w:pPr>
        <w:numPr>
          <w:ilvl w:val="1"/>
          <w:numId w:val="1"/>
        </w:numPr>
        <w:tabs>
          <w:tab w:val="left" w:pos="0"/>
        </w:tabs>
        <w:spacing w:beforeAutospacing="0" w:after="0" w:afterAutospacing="0" w:line="240" w:lineRule="auto"/>
        <w:jc w:val="both"/>
        <w:rPr>
          <w:rFonts w:ascii="Times New Roman" w:hAnsi="Times New Roman"/>
          <w:sz w:val="28"/>
          <w:szCs w:val="28"/>
        </w:rPr>
      </w:pPr>
      <w:r>
        <w:rPr>
          <w:rFonts w:ascii="Times New Roman" w:hAnsi="Times New Roman"/>
          <w:bCs/>
          <w:sz w:val="28"/>
          <w:szCs w:val="28"/>
        </w:rPr>
        <w:t xml:space="preserve"> Пріоритетні напрямки</w:t>
      </w:r>
      <w:r>
        <w:rPr>
          <w:rFonts w:ascii="Times New Roman" w:hAnsi="Times New Roman"/>
          <w:sz w:val="28"/>
          <w:szCs w:val="28"/>
        </w:rPr>
        <w:t xml:space="preserve"> роботи Закладу є:</w:t>
      </w:r>
    </w:p>
    <w:p>
      <w:pPr>
        <w:tabs>
          <w:tab w:val="left" w:pos="0"/>
        </w:tabs>
        <w:spacing w:beforeAutospacing="0" w:after="0" w:afterAutospacing="0" w:line="240" w:lineRule="auto"/>
        <w:ind w:left="927"/>
        <w:jc w:val="both"/>
        <w:rPr>
          <w:rFonts w:ascii="Times New Roman" w:hAnsi="Times New Roman"/>
          <w:sz w:val="28"/>
          <w:szCs w:val="28"/>
        </w:rPr>
      </w:pPr>
    </w:p>
    <w:p>
      <w:pPr>
        <w:numPr>
          <w:ilvl w:val="0"/>
          <w:numId w:val="2"/>
        </w:numPr>
        <w:tabs>
          <w:tab w:val="left" w:pos="567"/>
          <w:tab w:val="left" w:pos="709"/>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збереження і розвиток української культури, а також культур інших національних груп, що проживають на території Броварської міської територіальної громади;</w:t>
      </w:r>
    </w:p>
    <w:p>
      <w:pPr>
        <w:tabs>
          <w:tab w:val="left" w:pos="567"/>
          <w:tab w:val="left" w:pos="709"/>
        </w:tabs>
        <w:spacing w:beforeAutospacing="0" w:after="0" w:afterAutospacing="0" w:line="240" w:lineRule="auto"/>
        <w:ind w:left="567"/>
        <w:jc w:val="both"/>
        <w:rPr>
          <w:rFonts w:ascii="Times New Roman" w:hAnsi="Times New Roman"/>
          <w:sz w:val="16"/>
          <w:szCs w:val="16"/>
        </w:rPr>
      </w:pPr>
    </w:p>
    <w:p>
      <w:pPr>
        <w:tabs>
          <w:tab w:val="left" w:pos="567"/>
        </w:tabs>
        <w:ind w:firstLine="567"/>
        <w:jc w:val="both"/>
        <w:rPr>
          <w:rFonts w:ascii="Times New Roman" w:hAnsi="Times New Roman"/>
          <w:sz w:val="28"/>
          <w:szCs w:val="28"/>
        </w:rPr>
      </w:pPr>
      <w:r>
        <w:rPr>
          <w:rFonts w:ascii="Times New Roman" w:hAnsi="Times New Roman"/>
          <w:sz w:val="28"/>
          <w:szCs w:val="28"/>
        </w:rPr>
        <w:t>-</w:t>
        <w:tab/>
        <w:t>створення та реалізація проектів, спрямованих на всебічний розвиток громади;</w:t>
      </w:r>
    </w:p>
    <w:p>
      <w:pPr>
        <w:tabs>
          <w:tab w:val="left" w:pos="567"/>
        </w:tabs>
        <w:ind w:firstLine="567"/>
        <w:jc w:val="both"/>
        <w:rPr>
          <w:rFonts w:ascii="Times New Roman" w:hAnsi="Times New Roman"/>
          <w:sz w:val="28"/>
          <w:szCs w:val="28"/>
        </w:rPr>
      </w:pPr>
      <w:r>
        <w:rPr>
          <w:rFonts w:ascii="Times New Roman" w:hAnsi="Times New Roman"/>
          <w:sz w:val="28"/>
          <w:szCs w:val="28"/>
        </w:rPr>
        <w:t>-</w:t>
        <w:tab/>
        <w:t>забезпечення та підтримка реалізації громадських проектів та ініціатив у різних сферах;</w:t>
      </w:r>
    </w:p>
    <w:p>
      <w:pPr>
        <w:tabs>
          <w:tab w:val="left" w:pos="567"/>
        </w:tabs>
        <w:ind w:firstLine="567"/>
        <w:jc w:val="both"/>
        <w:rPr>
          <w:rFonts w:ascii="Times New Roman" w:hAnsi="Times New Roman"/>
          <w:sz w:val="28"/>
          <w:szCs w:val="28"/>
        </w:rPr>
      </w:pPr>
      <w:r>
        <w:rPr>
          <w:rFonts w:ascii="Times New Roman" w:hAnsi="Times New Roman"/>
          <w:sz w:val="28"/>
          <w:szCs w:val="28"/>
        </w:rPr>
        <w:t>-</w:t>
        <w:tab/>
        <w:t xml:space="preserve">впровадження інноваційних форм і методів роботи; </w:t>
      </w:r>
    </w:p>
    <w:p>
      <w:pPr>
        <w:tabs>
          <w:tab w:val="left" w:pos="567"/>
        </w:tabs>
        <w:ind w:firstLine="567"/>
        <w:jc w:val="both"/>
        <w:rPr>
          <w:rFonts w:ascii="Times New Roman" w:hAnsi="Times New Roman"/>
          <w:sz w:val="28"/>
          <w:szCs w:val="28"/>
        </w:rPr>
      </w:pPr>
      <w:r>
        <w:rPr>
          <w:rFonts w:ascii="Times New Roman" w:hAnsi="Times New Roman"/>
          <w:sz w:val="28"/>
          <w:szCs w:val="28"/>
        </w:rPr>
        <w:t>- створення соціально-економічних, політичних, організаційних, правових умов та гарантій для життєвого самовизначення, інтелектуального, морального, духовного, фізичного розвитку молоді.</w:t>
      </w:r>
    </w:p>
    <w:p>
      <w:pPr>
        <w:tabs>
          <w:tab w:val="left" w:pos="0"/>
        </w:tabs>
        <w:ind w:firstLine="567"/>
        <w:jc w:val="both"/>
        <w:rPr>
          <w:rFonts w:ascii="Times New Roman" w:hAnsi="Times New Roman"/>
          <w:sz w:val="28"/>
          <w:szCs w:val="28"/>
        </w:rPr>
      </w:pPr>
      <w:r>
        <w:rPr>
          <w:rFonts w:ascii="Times New Roman" w:hAnsi="Times New Roman"/>
          <w:bCs/>
          <w:sz w:val="28"/>
          <w:szCs w:val="28"/>
        </w:rPr>
        <w:t>2.3 Головною функцією</w:t>
      </w:r>
      <w:r>
        <w:rPr>
          <w:rFonts w:ascii="Times New Roman" w:hAnsi="Times New Roman"/>
          <w:b/>
          <w:bCs/>
          <w:sz w:val="28"/>
          <w:szCs w:val="28"/>
        </w:rPr>
        <w:t xml:space="preserve"> </w:t>
      </w:r>
      <w:r>
        <w:rPr>
          <w:rFonts w:ascii="Times New Roman" w:hAnsi="Times New Roman"/>
          <w:sz w:val="28"/>
          <w:szCs w:val="28"/>
        </w:rPr>
        <w:t>Закладу є культурно-творча, виховна, пізнавальна дозвіллєва та інноваційна  діяльність у сфері культури та молодіжної політики.</w:t>
      </w:r>
    </w:p>
    <w:p>
      <w:pPr>
        <w:tabs>
          <w:tab w:val="left" w:pos="0"/>
        </w:tabs>
        <w:ind w:firstLine="567"/>
        <w:jc w:val="both"/>
        <w:rPr>
          <w:rFonts w:ascii="Times New Roman" w:hAnsi="Times New Roman"/>
          <w:sz w:val="28"/>
          <w:szCs w:val="28"/>
        </w:rPr>
      </w:pPr>
      <w:r>
        <w:rPr>
          <w:rFonts w:ascii="Times New Roman" w:hAnsi="Times New Roman"/>
          <w:bCs/>
          <w:sz w:val="28"/>
          <w:szCs w:val="28"/>
        </w:rPr>
        <w:t>2.4 Головними завданнями</w:t>
      </w:r>
      <w:r>
        <w:rPr>
          <w:rFonts w:ascii="Times New Roman" w:hAnsi="Times New Roman"/>
          <w:sz w:val="28"/>
          <w:szCs w:val="28"/>
        </w:rPr>
        <w:t xml:space="preserve"> Закладу є:</w:t>
      </w:r>
    </w:p>
    <w:p>
      <w:pPr>
        <w:tabs>
          <w:tab w:val="left" w:pos="567"/>
        </w:tabs>
        <w:ind w:firstLine="567"/>
        <w:jc w:val="both"/>
        <w:rPr>
          <w:rFonts w:ascii="Times New Roman" w:hAnsi="Times New Roman"/>
          <w:sz w:val="28"/>
          <w:szCs w:val="28"/>
        </w:rPr>
      </w:pPr>
      <w:r>
        <w:rPr>
          <w:rFonts w:ascii="Times New Roman" w:hAnsi="Times New Roman"/>
          <w:sz w:val="28"/>
          <w:szCs w:val="28"/>
        </w:rPr>
        <w:t>-</w:t>
        <w:tab/>
        <w:t>реалізація державної та регіональної політики у сфері культури та потреб молоді;</w:t>
      </w:r>
    </w:p>
    <w:p>
      <w:pPr>
        <w:pStyle w:val="1"/>
        <w:shd w:val="clear" w:color="auto" w:fill="auto"/>
        <w:tabs>
          <w:tab w:val="left" w:pos="1371"/>
        </w:tabs>
        <w:jc w:val="both"/>
      </w:pPr>
      <w:r>
        <w:t>- утвердження громадянської позиції, духовності, моральності, національно-патріотичної свідомості та формування у молоді сімейних, національних і загальнолюдських цінностей;</w:t>
      </w:r>
    </w:p>
    <w:p>
      <w:pPr>
        <w:pStyle w:val="1"/>
        <w:shd w:val="clear" w:color="auto" w:fill="auto"/>
        <w:tabs>
          <w:tab w:val="left" w:pos="1371"/>
        </w:tabs>
        <w:jc w:val="both"/>
      </w:pPr>
    </w:p>
    <w:p>
      <w:pPr>
        <w:pStyle w:val="1"/>
        <w:shd w:val="clear" w:color="auto" w:fill="auto"/>
        <w:tabs>
          <w:tab w:val="left" w:pos="1622"/>
        </w:tabs>
        <w:jc w:val="both"/>
      </w:pPr>
      <w:r>
        <w:t>- створення умов для творчого розвитку особистості, інтелектуального самовдосконалення та лідерських якостей у молоді;</w:t>
      </w:r>
    </w:p>
    <w:p>
      <w:pPr>
        <w:pStyle w:val="1"/>
        <w:shd w:val="clear" w:color="auto" w:fill="auto"/>
        <w:tabs>
          <w:tab w:val="left" w:pos="1371"/>
        </w:tabs>
        <w:ind w:firstLine="0"/>
        <w:jc w:val="both"/>
      </w:pPr>
    </w:p>
    <w:p>
      <w:pPr>
        <w:pStyle w:val="1"/>
        <w:shd w:val="clear" w:color="auto" w:fill="auto"/>
        <w:tabs>
          <w:tab w:val="left" w:pos="1622"/>
        </w:tabs>
        <w:ind w:firstLine="567"/>
        <w:jc w:val="both"/>
      </w:pPr>
      <w:r>
        <w:t>- залучення потенціалу територіальної громади до реалізації молодіжної політики;</w:t>
      </w:r>
    </w:p>
    <w:p>
      <w:pPr>
        <w:pStyle w:val="1"/>
        <w:shd w:val="clear" w:color="auto" w:fill="auto"/>
        <w:tabs>
          <w:tab w:val="left" w:pos="1385"/>
        </w:tabs>
        <w:ind w:firstLine="0"/>
        <w:jc w:val="both"/>
      </w:pPr>
    </w:p>
    <w:p>
      <w:pPr>
        <w:pStyle w:val="1"/>
        <w:numPr>
          <w:ilvl w:val="0"/>
          <w:numId w:val="2"/>
        </w:numPr>
        <w:shd w:val="clear" w:color="auto" w:fill="auto"/>
        <w:tabs>
          <w:tab w:val="left" w:pos="993"/>
        </w:tabs>
        <w:ind w:left="567" w:firstLine="0"/>
        <w:jc w:val="both"/>
      </w:pPr>
      <w:r>
        <w:t>популяризація здорового способу життя молоді;</w:t>
      </w:r>
    </w:p>
    <w:p>
      <w:pPr>
        <w:pStyle w:val="1"/>
        <w:shd w:val="clear" w:color="auto" w:fill="auto"/>
        <w:tabs>
          <w:tab w:val="left" w:pos="993"/>
        </w:tabs>
        <w:ind w:left="567" w:firstLine="0"/>
        <w:jc w:val="both"/>
      </w:pPr>
    </w:p>
    <w:p>
      <w:pPr>
        <w:pStyle w:val="1"/>
        <w:shd w:val="clear" w:color="auto" w:fill="auto"/>
        <w:tabs>
          <w:tab w:val="left" w:pos="1371"/>
        </w:tabs>
        <w:ind w:firstLine="567"/>
        <w:jc w:val="both"/>
      </w:pPr>
      <w:r>
        <w:t>- сприяння працевлаштуванню молоді та зайнятості у вільний час, молодіжному підприємництву;</w:t>
      </w:r>
    </w:p>
    <w:p>
      <w:pPr>
        <w:pStyle w:val="1"/>
        <w:shd w:val="clear" w:color="auto" w:fill="auto"/>
        <w:tabs>
          <w:tab w:val="left" w:pos="1371"/>
        </w:tabs>
        <w:ind w:firstLine="567"/>
        <w:jc w:val="both"/>
      </w:pPr>
    </w:p>
    <w:p>
      <w:pPr>
        <w:pStyle w:val="1"/>
        <w:numPr>
          <w:ilvl w:val="0"/>
          <w:numId w:val="2"/>
        </w:numPr>
        <w:shd w:val="clear" w:color="auto" w:fill="auto"/>
        <w:tabs>
          <w:tab w:val="left" w:pos="1524"/>
        </w:tabs>
        <w:ind w:left="709" w:hanging="142"/>
        <w:jc w:val="both"/>
      </w:pPr>
      <w:r>
        <w:t>сприяння волонтерській діяльності та мобільності молоді.</w:t>
      </w:r>
    </w:p>
    <w:p>
      <w:pPr>
        <w:pStyle w:val="1"/>
        <w:shd w:val="clear" w:color="auto" w:fill="auto"/>
        <w:tabs>
          <w:tab w:val="left" w:pos="1371"/>
        </w:tabs>
        <w:ind w:firstLine="0"/>
        <w:jc w:val="both"/>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задоволення культурно-дозвілл</w:t>
      </w:r>
      <w:r>
        <w:rPr>
          <w:rFonts w:ascii="Times New Roman" w:hAnsi="Times New Roman"/>
          <w:sz w:val="28"/>
          <w:szCs w:val="28"/>
          <w:lang w:val="ru-RU"/>
        </w:rPr>
        <w:t>є</w:t>
      </w:r>
      <w:r>
        <w:rPr>
          <w:rFonts w:ascii="Times New Roman" w:hAnsi="Times New Roman"/>
          <w:sz w:val="28"/>
          <w:szCs w:val="28"/>
        </w:rPr>
        <w:t>вих потреб громади;</w:t>
      </w:r>
    </w:p>
    <w:p>
      <w:pPr>
        <w:tabs>
          <w:tab w:val="left" w:pos="567"/>
        </w:tabs>
        <w:spacing w:beforeAutospacing="0" w:after="0" w:afterAutospacing="0" w:line="240" w:lineRule="auto"/>
        <w:ind w:left="567"/>
        <w:jc w:val="both"/>
        <w:rPr>
          <w:rFonts w:ascii="Times New Roman" w:hAnsi="Times New Roman"/>
          <w:sz w:val="28"/>
          <w:szCs w:val="28"/>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створення та впровадження нових інноваційних моделей та форм культурного обслуговування та організації дозвілля громадян;</w:t>
      </w:r>
    </w:p>
    <w:p>
      <w:pPr>
        <w:tabs>
          <w:tab w:val="left" w:pos="567"/>
        </w:tabs>
        <w:spacing w:beforeAutospacing="0" w:after="0" w:afterAutospacing="0" w:line="240" w:lineRule="auto"/>
        <w:jc w:val="both"/>
        <w:rPr>
          <w:rFonts w:ascii="Times New Roman" w:hAnsi="Times New Roman"/>
          <w:sz w:val="28"/>
          <w:szCs w:val="28"/>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підтримка реалізації громадських культурних проектів та ініціатив у різних сферах;</w:t>
      </w:r>
    </w:p>
    <w:p>
      <w:pPr>
        <w:tabs>
          <w:tab w:val="left" w:pos="567"/>
        </w:tabs>
        <w:spacing w:beforeAutospacing="0" w:after="0" w:afterAutospacing="0" w:line="240" w:lineRule="auto"/>
        <w:ind w:left="567"/>
        <w:jc w:val="both"/>
        <w:rPr>
          <w:rFonts w:ascii="Times New Roman" w:hAnsi="Times New Roman"/>
          <w:sz w:val="28"/>
          <w:szCs w:val="28"/>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підтримка та збереження осередків народних художніх промислів;</w:t>
      </w:r>
    </w:p>
    <w:p>
      <w:pPr>
        <w:tabs>
          <w:tab w:val="left" w:pos="567"/>
        </w:tabs>
        <w:spacing w:beforeAutospacing="0" w:after="0" w:afterAutospacing="0" w:line="240" w:lineRule="auto"/>
        <w:jc w:val="both"/>
        <w:rPr>
          <w:rFonts w:ascii="Times New Roman" w:hAnsi="Times New Roman"/>
          <w:sz w:val="16"/>
          <w:szCs w:val="16"/>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реалізація творчого потенціалу різних верств населення громади;</w:t>
      </w:r>
    </w:p>
    <w:p>
      <w:pPr>
        <w:tabs>
          <w:tab w:val="left" w:pos="567"/>
        </w:tabs>
        <w:spacing w:beforeAutospacing="0" w:after="0" w:afterAutospacing="0" w:line="240" w:lineRule="auto"/>
        <w:jc w:val="both"/>
        <w:rPr>
          <w:rFonts w:ascii="Times New Roman" w:hAnsi="Times New Roman"/>
          <w:sz w:val="16"/>
          <w:szCs w:val="16"/>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розвиток міжнародного співробітництва з питань реалізації державної та місцевої політики в культурній та молодіжній сфері.</w:t>
      </w:r>
    </w:p>
    <w:p>
      <w:pPr>
        <w:tabs>
          <w:tab w:val="left" w:pos="567"/>
        </w:tabs>
        <w:spacing w:beforeAutospacing="0" w:after="0" w:afterAutospacing="0" w:line="240" w:lineRule="auto"/>
        <w:jc w:val="both"/>
        <w:rPr>
          <w:rFonts w:ascii="Times New Roman" w:hAnsi="Times New Roman"/>
          <w:sz w:val="28"/>
          <w:szCs w:val="28"/>
        </w:rPr>
      </w:pPr>
    </w:p>
    <w:p>
      <w:pPr>
        <w:tabs>
          <w:tab w:val="left" w:pos="0"/>
        </w:tabs>
        <w:ind w:firstLine="567"/>
        <w:jc w:val="both"/>
        <w:rPr>
          <w:rFonts w:ascii="Times New Roman" w:hAnsi="Times New Roman"/>
          <w:sz w:val="28"/>
          <w:szCs w:val="28"/>
        </w:rPr>
      </w:pPr>
      <w:r>
        <w:rPr>
          <w:rFonts w:ascii="Times New Roman" w:hAnsi="Times New Roman"/>
          <w:sz w:val="28"/>
          <w:szCs w:val="28"/>
        </w:rPr>
        <w:t>2.5 Головні види діяльності</w:t>
      </w:r>
      <w:r>
        <w:rPr>
          <w:rStyle w:val="Emphasis"/>
          <w:rFonts w:ascii="Times New Roman" w:hAnsi="Times New Roman"/>
          <w:color w:val="000000"/>
          <w:sz w:val="28"/>
          <w:szCs w:val="28"/>
          <w:shd w:val="clear" w:color="auto" w:fill="FFFAF0"/>
        </w:rPr>
        <w:t>:</w:t>
      </w:r>
    </w:p>
    <w:p>
      <w:pPr>
        <w:tabs>
          <w:tab w:val="left" w:pos="567"/>
        </w:tabs>
        <w:ind w:firstLine="567"/>
        <w:jc w:val="both"/>
        <w:rPr>
          <w:rFonts w:ascii="Times New Roman" w:hAnsi="Times New Roman"/>
          <w:sz w:val="28"/>
          <w:szCs w:val="28"/>
        </w:rPr>
      </w:pPr>
      <w:r>
        <w:rPr>
          <w:rFonts w:ascii="Times New Roman" w:hAnsi="Times New Roman"/>
          <w:sz w:val="28"/>
          <w:szCs w:val="28"/>
        </w:rPr>
        <w:t>-</w:t>
        <w:tab/>
        <w:t>організація та проведення заходів: фестивалів, конкурсів, виставок, концертів, семінарів, тренінгів, конференцій, лекцій, квестів, квізів, форумів, ярмарків, акцій;</w:t>
      </w: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надання послуги з організації робочого простору для роботи людей з різним типом зайнятості у єдиному робочому просторі (коворкінг);</w:t>
      </w:r>
    </w:p>
    <w:p>
      <w:pPr>
        <w:tabs>
          <w:tab w:val="left" w:pos="567"/>
        </w:tabs>
        <w:spacing w:beforeAutospacing="0" w:after="0" w:afterAutospacing="0" w:line="240" w:lineRule="auto"/>
        <w:ind w:left="567"/>
        <w:jc w:val="both"/>
        <w:rPr>
          <w:rFonts w:ascii="Times New Roman" w:hAnsi="Times New Roman"/>
          <w:sz w:val="16"/>
          <w:szCs w:val="16"/>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надання послуги оренди приміщень Закладу (для соціальних проєктів - безкоштовно);</w:t>
      </w:r>
    </w:p>
    <w:p>
      <w:pPr>
        <w:tabs>
          <w:tab w:val="left" w:pos="567"/>
        </w:tabs>
        <w:spacing w:beforeAutospacing="0" w:after="0" w:afterAutospacing="0" w:line="240" w:lineRule="auto"/>
        <w:jc w:val="both"/>
        <w:rPr>
          <w:rFonts w:ascii="Times New Roman" w:hAnsi="Times New Roman"/>
          <w:sz w:val="16"/>
          <w:szCs w:val="16"/>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надання приміщення для реалізації та проведення заходів (спектаклі, концерти, інші театрально-видовищні заходи, у тому числі за участі професійних творчих колективів та окремих виконавців) державним органам управління (відділам, організаціям), комерційним і неприбутковим установам;</w:t>
      </w:r>
    </w:p>
    <w:p>
      <w:pPr>
        <w:tabs>
          <w:tab w:val="left" w:pos="567"/>
        </w:tabs>
        <w:spacing w:beforeAutospacing="0" w:after="0" w:afterAutospacing="0" w:line="240" w:lineRule="auto"/>
        <w:jc w:val="both"/>
        <w:rPr>
          <w:rFonts w:ascii="Times New Roman" w:hAnsi="Times New Roman"/>
          <w:sz w:val="16"/>
          <w:szCs w:val="16"/>
        </w:rPr>
      </w:pPr>
    </w:p>
    <w:p>
      <w:pPr>
        <w:numPr>
          <w:ilvl w:val="0"/>
          <w:numId w:val="3"/>
        </w:numPr>
        <w:tabs>
          <w:tab w:val="left" w:pos="567"/>
        </w:tabs>
        <w:spacing w:beforeAutospacing="0" w:after="0" w:afterAutospacing="0" w:line="240" w:lineRule="auto"/>
        <w:ind w:left="0" w:firstLine="567"/>
        <w:jc w:val="both"/>
        <w:rPr>
          <w:rFonts w:ascii="Times New Roman" w:hAnsi="Times New Roman"/>
          <w:sz w:val="28"/>
          <w:szCs w:val="28"/>
        </w:rPr>
      </w:pPr>
      <w:r>
        <w:rPr>
          <w:rFonts w:ascii="Times New Roman" w:hAnsi="Times New Roman"/>
          <w:sz w:val="28"/>
          <w:szCs w:val="28"/>
        </w:rPr>
        <w:t xml:space="preserve">  співорганізатором та приймає в своєму приміщенні заходи, створенні іншими організаціями: лекторії, форуми, конференції, тренінги, майстер-класи, презентації, промоакції, церемонії нагородження, аукціони, кінопокази, покази мод, фото та відеозйомоки, інтерв’ю, нетворкінг-зустрічі, клуби за інтересами, соціальні послуги для населення, хакатони, курси, тематичні вечори, творчі зустрічі тощо;</w:t>
      </w:r>
    </w:p>
    <w:p>
      <w:pPr>
        <w:pStyle w:val="1"/>
        <w:shd w:val="clear" w:color="auto" w:fill="auto"/>
        <w:tabs>
          <w:tab w:val="left" w:pos="1508"/>
        </w:tabs>
        <w:jc w:val="both"/>
      </w:pPr>
    </w:p>
    <w:p>
      <w:pPr>
        <w:pStyle w:val="1"/>
        <w:shd w:val="clear" w:color="auto" w:fill="auto"/>
        <w:tabs>
          <w:tab w:val="left" w:pos="1508"/>
        </w:tabs>
        <w:jc w:val="both"/>
      </w:pPr>
      <w:r>
        <w:t>- вивчення громадської думки, зокрема шляхом проведення  соціологічних досліджень, використання соціальної реклами, забезпечення можливості для неформальної освіти молоді;</w:t>
      </w:r>
    </w:p>
    <w:p>
      <w:pPr>
        <w:pStyle w:val="1"/>
        <w:shd w:val="clear" w:color="auto" w:fill="auto"/>
        <w:tabs>
          <w:tab w:val="left" w:pos="1508"/>
        </w:tabs>
        <w:jc w:val="both"/>
      </w:pPr>
    </w:p>
    <w:p>
      <w:pPr>
        <w:pStyle w:val="1"/>
        <w:shd w:val="clear" w:color="auto" w:fill="auto"/>
        <w:tabs>
          <w:tab w:val="left" w:pos="1848"/>
        </w:tabs>
        <w:jc w:val="both"/>
      </w:pPr>
      <w:r>
        <w:t>- взаємодія із структурними підрозділами місцевих держадміністрацій та органами місцевого самоврядування,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іншими інститутами громадянського суспільства, органами учнівського та студентського самоврядування.</w:t>
      </w:r>
    </w:p>
    <w:p>
      <w:pPr>
        <w:tabs>
          <w:tab w:val="left" w:pos="567"/>
        </w:tabs>
        <w:spacing w:beforeAutospacing="0" w:after="0" w:afterAutospacing="0" w:line="240" w:lineRule="auto"/>
        <w:jc w:val="both"/>
        <w:rPr>
          <w:rFonts w:ascii="Times New Roman" w:hAnsi="Times New Roman"/>
          <w:sz w:val="16"/>
          <w:szCs w:val="16"/>
        </w:rPr>
      </w:pPr>
    </w:p>
    <w:p>
      <w:pPr>
        <w:tabs>
          <w:tab w:val="left" w:pos="567"/>
        </w:tabs>
        <w:spacing w:beforeAutospacing="0" w:after="0" w:afterAutospacing="0" w:line="240" w:lineRule="auto"/>
        <w:jc w:val="both"/>
        <w:rPr>
          <w:rFonts w:ascii="Times New Roman" w:hAnsi="Times New Roman"/>
          <w:sz w:val="28"/>
          <w:szCs w:val="28"/>
        </w:rPr>
      </w:pPr>
    </w:p>
    <w:p>
      <w:pPr>
        <w:tabs>
          <w:tab w:val="left" w:pos="567"/>
        </w:tabs>
        <w:ind w:firstLine="567"/>
        <w:jc w:val="center"/>
        <w:rPr>
          <w:rFonts w:ascii="Times New Roman" w:hAnsi="Times New Roman"/>
          <w:b/>
          <w:sz w:val="28"/>
          <w:szCs w:val="28"/>
        </w:rPr>
      </w:pPr>
      <w:r>
        <w:rPr>
          <w:rFonts w:ascii="Times New Roman" w:hAnsi="Times New Roman"/>
          <w:b/>
          <w:sz w:val="28"/>
          <w:szCs w:val="28"/>
        </w:rPr>
        <w:t xml:space="preserve"> 3. СТРУКТУРА ТА ОСНОВНІ ПРИНЦИПИ</w:t>
      </w:r>
    </w:p>
    <w:p>
      <w:pPr>
        <w:tabs>
          <w:tab w:val="left" w:pos="567"/>
        </w:tabs>
        <w:ind w:firstLine="567"/>
        <w:jc w:val="center"/>
        <w:rPr>
          <w:rFonts w:ascii="Times New Roman" w:hAnsi="Times New Roman"/>
          <w:b/>
          <w:sz w:val="28"/>
          <w:szCs w:val="28"/>
        </w:rPr>
      </w:pPr>
      <w:r>
        <w:rPr>
          <w:rFonts w:ascii="Times New Roman" w:hAnsi="Times New Roman"/>
          <w:b/>
          <w:sz w:val="28"/>
          <w:szCs w:val="28"/>
        </w:rPr>
        <w:t>ДІЯЛЬНОСТІ ЗАКЛАДУ</w:t>
      </w: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 xml:space="preserve">3.1 </w:t>
      </w:r>
      <w:r>
        <w:rPr>
          <w:rFonts w:ascii="Times New Roman" w:hAnsi="Times New Roman"/>
          <w:bCs/>
          <w:color w:val="000000"/>
          <w:sz w:val="28"/>
          <w:szCs w:val="28"/>
        </w:rPr>
        <w:t xml:space="preserve">Структура Закладу визначається завданнями, напрямами та змістом його діяльності, місцевими умовами й можливостями. </w:t>
      </w: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rPr>
        <w:t xml:space="preserve">3.2 </w:t>
      </w:r>
      <w:r>
        <w:rPr>
          <w:rFonts w:ascii="Times New Roman" w:hAnsi="Times New Roman"/>
          <w:bCs/>
          <w:color w:val="000000"/>
          <w:sz w:val="28"/>
          <w:szCs w:val="28"/>
        </w:rPr>
        <w:t>Заклад планує свою діяльність відповідно до культурних та молодіжних потреб населення, виходячи із  можливостей та фінансових ресурсів.</w:t>
      </w: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3.</w:t>
      </w:r>
      <w:r>
        <w:rPr>
          <w:rFonts w:ascii="Times New Roman" w:hAnsi="Times New Roman"/>
          <w:color w:val="000000"/>
          <w:sz w:val="28"/>
        </w:rPr>
        <w:t>3</w:t>
      </w:r>
      <w:r>
        <w:rPr>
          <w:rFonts w:ascii="Times New Roman" w:hAnsi="Times New Roman"/>
          <w:color w:val="000000"/>
          <w:sz w:val="28"/>
          <w:szCs w:val="28"/>
        </w:rPr>
        <w:t xml:space="preserve"> </w:t>
      </w:r>
      <w:r>
        <w:rPr>
          <w:rFonts w:ascii="Times New Roman" w:hAnsi="Times New Roman"/>
          <w:bCs/>
          <w:color w:val="000000"/>
          <w:sz w:val="28"/>
          <w:szCs w:val="28"/>
        </w:rPr>
        <w:t>Культурно-освітня, виховна, організаційно-масова, дозвіллєва робота у Закладі здійснюється диференційовано з використанням різних організаційних форм роботи: конкурси, огляди, концерти, фестивалі, тренінги, лекції, семінари, акції, виставки, форуми, ярмарки, а також з використанням інших форм та методів, не заборонених законодавством.</w:t>
      </w:r>
    </w:p>
    <w:p>
      <w:pPr>
        <w:pStyle w:val="Heading2"/>
        <w:tabs>
          <w:tab w:val="left" w:pos="0"/>
        </w:tabs>
        <w:ind w:left="0" w:firstLine="567"/>
        <w:jc w:val="both"/>
        <w:rPr>
          <w:b w:val="0"/>
          <w:bCs w:val="0"/>
          <w:sz w:val="28"/>
          <w:szCs w:val="28"/>
        </w:rPr>
      </w:pPr>
      <w:r>
        <w:rPr>
          <w:b w:val="0"/>
          <w:bCs w:val="0"/>
          <w:sz w:val="28"/>
          <w:szCs w:val="22"/>
        </w:rPr>
        <w:t>3.4</w:t>
      </w:r>
      <w:r>
        <w:rPr>
          <w:bCs w:val="0"/>
          <w:sz w:val="28"/>
          <w:szCs w:val="28"/>
        </w:rPr>
        <w:t xml:space="preserve"> </w:t>
      </w:r>
      <w:r>
        <w:rPr>
          <w:b w:val="0"/>
          <w:sz w:val="28"/>
          <w:szCs w:val="28"/>
        </w:rPr>
        <w:t xml:space="preserve">Заклад може залучати до участі в організаційно-масових заходах </w:t>
      </w:r>
      <w:r>
        <w:rPr>
          <w:b w:val="0"/>
          <w:bCs w:val="0"/>
          <w:sz w:val="28"/>
          <w:szCs w:val="28"/>
        </w:rPr>
        <w:t>дошкільні, позашкільні, загальноосвітні, професійно-технічні, вищі навчальні заклади, інші заклади та організації, окремих спеціалістів.</w:t>
      </w:r>
    </w:p>
    <w:p>
      <w:pPr>
        <w:tabs>
          <w:tab w:val="left" w:pos="0"/>
        </w:tabs>
        <w:ind w:left="0" w:firstLine="567"/>
        <w:jc w:val="both"/>
        <w:rPr>
          <w:lang w:eastAsia="ru-RU"/>
        </w:rPr>
      </w:pPr>
    </w:p>
    <w:p>
      <w:pPr>
        <w:pStyle w:val="Heading2"/>
        <w:tabs>
          <w:tab w:val="left" w:pos="0"/>
        </w:tabs>
        <w:ind w:left="0" w:firstLine="567"/>
        <w:jc w:val="both"/>
        <w:rPr>
          <w:b w:val="0"/>
          <w:bCs w:val="0"/>
          <w:sz w:val="28"/>
          <w:szCs w:val="28"/>
        </w:rPr>
      </w:pPr>
      <w:r>
        <w:rPr>
          <w:b w:val="0"/>
          <w:bCs w:val="0"/>
          <w:sz w:val="28"/>
          <w:szCs w:val="28"/>
        </w:rPr>
        <w:t xml:space="preserve">3.5 </w:t>
      </w:r>
      <w:r>
        <w:rPr>
          <w:b w:val="0"/>
          <w:sz w:val="28"/>
          <w:szCs w:val="28"/>
        </w:rPr>
        <w:t xml:space="preserve">Заклад має право на надання платних послуг відповідно до </w:t>
      </w:r>
      <w:r>
        <w:rPr>
          <w:b w:val="0"/>
          <w:bCs w:val="0"/>
          <w:sz w:val="28"/>
          <w:szCs w:val="28"/>
        </w:rPr>
        <w:t xml:space="preserve">переліку платних послуг в установленому законодавством порядку. </w:t>
      </w:r>
    </w:p>
    <w:p>
      <w:pPr>
        <w:rPr>
          <w:sz w:val="12"/>
          <w:szCs w:val="12"/>
          <w:lang w:eastAsia="ru-RU"/>
        </w:rPr>
      </w:pPr>
    </w:p>
    <w:p>
      <w:pPr>
        <w:tabs>
          <w:tab w:val="left" w:pos="0"/>
        </w:tabs>
        <w:ind w:firstLine="567"/>
        <w:jc w:val="both"/>
        <w:rPr>
          <w:rFonts w:ascii="Times New Roman" w:hAnsi="Times New Roman"/>
          <w:bCs/>
          <w:color w:val="000000"/>
          <w:sz w:val="28"/>
          <w:szCs w:val="28"/>
        </w:rPr>
      </w:pPr>
      <w:r>
        <w:rPr>
          <w:rFonts w:ascii="Times New Roman" w:hAnsi="Times New Roman"/>
          <w:color w:val="000000"/>
          <w:sz w:val="28"/>
          <w:szCs w:val="28"/>
        </w:rPr>
        <w:t>3.</w:t>
      </w:r>
      <w:r>
        <w:rPr>
          <w:rFonts w:ascii="Times New Roman" w:hAnsi="Times New Roman"/>
          <w:color w:val="000000"/>
          <w:sz w:val="28"/>
        </w:rPr>
        <w:t>6</w:t>
      </w:r>
      <w:r>
        <w:rPr>
          <w:rFonts w:ascii="Times New Roman" w:hAnsi="Times New Roman"/>
          <w:color w:val="000000"/>
          <w:sz w:val="28"/>
          <w:szCs w:val="28"/>
        </w:rPr>
        <w:t xml:space="preserve"> </w:t>
      </w:r>
      <w:r>
        <w:rPr>
          <w:rFonts w:ascii="Times New Roman" w:hAnsi="Times New Roman"/>
          <w:bCs/>
          <w:color w:val="000000"/>
          <w:sz w:val="28"/>
          <w:szCs w:val="28"/>
        </w:rPr>
        <w:t>У закладі можуть створюватись методичні, громадські ради. Їх діяльність здійснюється з урахування рекомендацій Органу управління, у підпорядкуванні якого перебуває Заклад.</w:t>
      </w:r>
    </w:p>
    <w:p>
      <w:pPr>
        <w:pStyle w:val="Heading1"/>
        <w:tabs>
          <w:tab w:val="left" w:pos="567"/>
        </w:tabs>
        <w:ind w:left="0" w:firstLine="567"/>
        <w:jc w:val="center"/>
        <w:rPr>
          <w:bCs w:val="0"/>
          <w:sz w:val="28"/>
          <w:szCs w:val="28"/>
        </w:rPr>
      </w:pPr>
      <w:r>
        <w:rPr>
          <w:bCs w:val="0"/>
          <w:sz w:val="28"/>
          <w:szCs w:val="28"/>
        </w:rPr>
        <w:t xml:space="preserve"> 4. УПРАВЛІННЯ ЗАКЛАДОМ</w:t>
      </w:r>
    </w:p>
    <w:p>
      <w:pPr>
        <w:rPr>
          <w:sz w:val="16"/>
          <w:szCs w:val="16"/>
          <w:lang w:eastAsia="ru-RU"/>
        </w:rPr>
      </w:pPr>
    </w:p>
    <w:p>
      <w:pPr>
        <w:pStyle w:val="Heading1"/>
        <w:tabs>
          <w:tab w:val="left" w:pos="0"/>
        </w:tabs>
        <w:ind w:left="0" w:firstLine="567"/>
        <w:jc w:val="both"/>
        <w:rPr>
          <w:b w:val="0"/>
          <w:bCs w:val="0"/>
          <w:sz w:val="28"/>
          <w:szCs w:val="28"/>
        </w:rPr>
      </w:pPr>
      <w:r>
        <w:rPr>
          <w:b w:val="0"/>
          <w:bCs w:val="0"/>
          <w:sz w:val="28"/>
          <w:szCs w:val="28"/>
        </w:rPr>
        <w:t>4.1 Керівництво Закладом здійснюється директором (далі - Керівник), що призначається Органом управління відповідно до чинного законодавства за результатами конкурсного відбору, шляхом укладання контракту.</w:t>
      </w:r>
    </w:p>
    <w:p>
      <w:pPr>
        <w:rPr>
          <w:sz w:val="12"/>
          <w:szCs w:val="12"/>
          <w:lang w:eastAsia="ru-RU"/>
        </w:rPr>
      </w:pPr>
    </w:p>
    <w:p>
      <w:pPr>
        <w:pStyle w:val="1"/>
        <w:shd w:val="clear" w:color="auto" w:fill="auto"/>
        <w:tabs>
          <w:tab w:val="left" w:pos="1184"/>
        </w:tabs>
        <w:ind w:firstLine="567"/>
        <w:jc w:val="both"/>
      </w:pPr>
      <w:r>
        <w:t xml:space="preserve">4.2 Керівник повинен відповідати наступним кваліфікаційним вимогам:   </w:t>
      </w:r>
    </w:p>
    <w:p>
      <w:pPr>
        <w:pStyle w:val="1"/>
        <w:numPr>
          <w:ilvl w:val="0"/>
          <w:numId w:val="4"/>
        </w:numPr>
        <w:shd w:val="clear" w:color="auto" w:fill="auto"/>
        <w:tabs>
          <w:tab w:val="left" w:pos="1184"/>
        </w:tabs>
        <w:ind w:left="0" w:firstLine="567"/>
        <w:jc w:val="both"/>
      </w:pPr>
      <w:r>
        <w:t>володіння державною мовою;</w:t>
      </w:r>
    </w:p>
    <w:p>
      <w:pPr>
        <w:pStyle w:val="1"/>
        <w:numPr>
          <w:ilvl w:val="0"/>
          <w:numId w:val="4"/>
        </w:numPr>
        <w:shd w:val="clear" w:color="auto" w:fill="auto"/>
        <w:tabs>
          <w:tab w:val="left" w:pos="1184"/>
        </w:tabs>
        <w:ind w:left="0" w:firstLine="567"/>
        <w:jc w:val="both"/>
      </w:pPr>
      <w:r>
        <w:t xml:space="preserve">вища освіта відповідного напрямку підготовки (спеціаліст, магістр); </w:t>
      </w:r>
    </w:p>
    <w:p>
      <w:pPr>
        <w:pStyle w:val="1"/>
        <w:numPr>
          <w:ilvl w:val="0"/>
          <w:numId w:val="4"/>
        </w:numPr>
        <w:shd w:val="clear" w:color="auto" w:fill="auto"/>
        <w:tabs>
          <w:tab w:val="left" w:pos="1184"/>
        </w:tabs>
        <w:ind w:left="0" w:firstLine="580"/>
        <w:jc w:val="both"/>
      </w:pPr>
      <w:r>
        <w:t>стаж роботи в профільній галузі– від 2-х років;</w:t>
      </w:r>
    </w:p>
    <w:p>
      <w:pPr>
        <w:pStyle w:val="1"/>
        <w:numPr>
          <w:ilvl w:val="0"/>
          <w:numId w:val="4"/>
        </w:numPr>
        <w:shd w:val="clear" w:color="auto" w:fill="auto"/>
        <w:tabs>
          <w:tab w:val="left" w:pos="1184"/>
        </w:tabs>
        <w:ind w:left="0" w:firstLine="580"/>
        <w:jc w:val="both"/>
      </w:pPr>
      <w:r>
        <w:t>знання чинного законодавства та нормативних матеріалів у відповідній галузі;</w:t>
      </w:r>
    </w:p>
    <w:p>
      <w:pPr>
        <w:pStyle w:val="1"/>
        <w:numPr>
          <w:ilvl w:val="0"/>
          <w:numId w:val="4"/>
        </w:numPr>
        <w:shd w:val="clear" w:color="auto" w:fill="auto"/>
        <w:tabs>
          <w:tab w:val="left" w:pos="1184"/>
        </w:tabs>
        <w:ind w:left="0" w:firstLine="580"/>
        <w:jc w:val="both"/>
      </w:pPr>
      <w:r>
        <w:t xml:space="preserve">організаторські здібності; </w:t>
      </w:r>
    </w:p>
    <w:p>
      <w:pPr>
        <w:pStyle w:val="1"/>
        <w:numPr>
          <w:ilvl w:val="0"/>
          <w:numId w:val="4"/>
        </w:numPr>
        <w:shd w:val="clear" w:color="auto" w:fill="auto"/>
        <w:tabs>
          <w:tab w:val="left" w:pos="1184"/>
        </w:tabs>
        <w:ind w:left="0" w:firstLine="580"/>
        <w:jc w:val="both"/>
      </w:pPr>
      <w:r>
        <w:t>стан фізичного й психічного здоров'я, який не перешкоджає виконанню посадових обов'язків.</w:t>
      </w:r>
    </w:p>
    <w:p>
      <w:pPr>
        <w:tabs>
          <w:tab w:val="left" w:pos="567"/>
        </w:tabs>
        <w:spacing w:beforeAutospacing="0" w:after="0" w:afterAutospacing="0" w:line="240" w:lineRule="auto"/>
        <w:jc w:val="both"/>
        <w:rPr>
          <w:rFonts w:ascii="Times New Roman" w:hAnsi="Times New Roman"/>
          <w:sz w:val="28"/>
          <w:szCs w:val="28"/>
        </w:rPr>
      </w:pPr>
    </w:p>
    <w:p>
      <w:pPr>
        <w:tabs>
          <w:tab w:val="left" w:pos="0"/>
        </w:tabs>
        <w:ind w:firstLine="567"/>
        <w:jc w:val="both"/>
        <w:rPr>
          <w:rFonts w:ascii="Times New Roman" w:hAnsi="Times New Roman"/>
          <w:sz w:val="28"/>
          <w:szCs w:val="28"/>
        </w:rPr>
      </w:pPr>
      <w:r>
        <w:rPr>
          <w:rFonts w:ascii="Times New Roman" w:hAnsi="Times New Roman"/>
          <w:sz w:val="28"/>
          <w:szCs w:val="28"/>
        </w:rPr>
        <w:t>4.3 У контракті визначається строк найму, права, обов’язки й відповідальність Керівника, умови його матеріального забезпечення, умови звільнення його з посади, інші умови найму.</w:t>
      </w:r>
    </w:p>
    <w:p>
      <w:pPr>
        <w:pStyle w:val="Heading1"/>
        <w:tabs>
          <w:tab w:val="left" w:pos="0"/>
        </w:tabs>
        <w:ind w:left="0" w:firstLine="567"/>
        <w:jc w:val="both"/>
        <w:rPr>
          <w:b w:val="0"/>
          <w:bCs w:val="0"/>
          <w:sz w:val="28"/>
          <w:szCs w:val="28"/>
        </w:rPr>
      </w:pPr>
      <w:r>
        <w:rPr>
          <w:b w:val="0"/>
          <w:bCs w:val="0"/>
          <w:sz w:val="28"/>
          <w:szCs w:val="28"/>
        </w:rPr>
        <w:t xml:space="preserve">4.4 Керівник може бути звільнений з посади раніше закінчення терміну дії контракту з підстав і в порядку, визначеному контрактом, рішеннями Засновника або Органу управління та чинним законодавством України. </w:t>
      </w:r>
    </w:p>
    <w:p>
      <w:pPr>
        <w:rPr>
          <w:rFonts w:ascii="Times New Roman" w:hAnsi="Times New Roman"/>
          <w:sz w:val="12"/>
          <w:szCs w:val="12"/>
          <w:lang w:eastAsia="ru-RU"/>
        </w:rPr>
      </w:pPr>
    </w:p>
    <w:p>
      <w:pPr>
        <w:pStyle w:val="Heading1"/>
        <w:tabs>
          <w:tab w:val="left" w:pos="0"/>
        </w:tabs>
        <w:ind w:left="0" w:firstLine="567"/>
        <w:jc w:val="both"/>
        <w:rPr>
          <w:b w:val="0"/>
          <w:bCs w:val="0"/>
          <w:sz w:val="28"/>
          <w:szCs w:val="28"/>
        </w:rPr>
      </w:pPr>
      <w:r>
        <w:rPr>
          <w:b w:val="0"/>
          <w:bCs w:val="0"/>
          <w:sz w:val="28"/>
          <w:szCs w:val="28"/>
        </w:rPr>
        <w:t>4.5 Керівник Закладу підзвітний та підконтрольний Засновнику та Органу управління з усіх питань статутної, фінансової, соціально - побутової, організаційно - господарської діяльності закладу, несе перед ними відповідальність за забезпечення діяльності закладу відповідно до покладених на нього завдань і функцій.</w:t>
      </w:r>
    </w:p>
    <w:p>
      <w:pPr>
        <w:rPr>
          <w:rFonts w:ascii="Times New Roman" w:hAnsi="Times New Roman"/>
          <w:sz w:val="12"/>
          <w:szCs w:val="12"/>
          <w:lang w:eastAsia="ru-RU"/>
        </w:rPr>
      </w:pPr>
    </w:p>
    <w:p>
      <w:pPr>
        <w:tabs>
          <w:tab w:val="left" w:pos="0"/>
        </w:tabs>
        <w:spacing w:beforeAutospacing="0" w:after="0" w:afterAutospacing="0" w:line="240" w:lineRule="auto"/>
        <w:ind w:left="927" w:hanging="360"/>
        <w:jc w:val="both"/>
        <w:rPr>
          <w:rFonts w:ascii="Times New Roman" w:hAnsi="Times New Roman"/>
          <w:sz w:val="28"/>
          <w:szCs w:val="28"/>
        </w:rPr>
      </w:pPr>
      <w:r>
        <w:rPr>
          <w:rFonts w:ascii="Times New Roman" w:hAnsi="Times New Roman"/>
          <w:sz w:val="28"/>
          <w:szCs w:val="28"/>
        </w:rPr>
        <w:t xml:space="preserve">4.6 Керівник Закладу в межах повноважень: </w:t>
      </w:r>
    </w:p>
    <w:p>
      <w:pPr>
        <w:tabs>
          <w:tab w:val="left" w:pos="0"/>
        </w:tabs>
        <w:spacing w:beforeAutospacing="0" w:after="0" w:afterAutospacing="0" w:line="240" w:lineRule="auto"/>
        <w:ind w:left="927"/>
        <w:jc w:val="both"/>
        <w:rPr>
          <w:rFonts w:ascii="Times New Roman" w:hAnsi="Times New Roman"/>
          <w:sz w:val="12"/>
          <w:szCs w:val="12"/>
        </w:rPr>
      </w:pPr>
    </w:p>
    <w:p>
      <w:pPr>
        <w:tabs>
          <w:tab w:val="left" w:pos="567"/>
        </w:tabs>
        <w:ind w:firstLine="567"/>
        <w:jc w:val="both"/>
        <w:rPr>
          <w:rFonts w:ascii="Times New Roman" w:hAnsi="Times New Roman"/>
          <w:sz w:val="28"/>
          <w:szCs w:val="28"/>
        </w:rPr>
      </w:pPr>
      <w:r>
        <w:rPr>
          <w:rFonts w:ascii="Times New Roman" w:hAnsi="Times New Roman"/>
          <w:sz w:val="28"/>
          <w:szCs w:val="28"/>
        </w:rPr>
        <w:t>-</w:t>
        <w:tab/>
        <w:t>забезпечує статутну діяльність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w:t>
        <w:tab/>
        <w:t>формує структуру та штатний розпис Закладу, який затверджується Органом управління;</w:t>
      </w:r>
    </w:p>
    <w:p>
      <w:pPr>
        <w:tabs>
          <w:tab w:val="left" w:pos="567"/>
        </w:tabs>
        <w:ind w:firstLine="567"/>
        <w:jc w:val="both"/>
        <w:rPr>
          <w:rFonts w:ascii="Times New Roman" w:hAnsi="Times New Roman"/>
          <w:sz w:val="28"/>
          <w:szCs w:val="28"/>
        </w:rPr>
      </w:pPr>
      <w:r>
        <w:rPr>
          <w:rFonts w:ascii="Times New Roman" w:hAnsi="Times New Roman"/>
          <w:sz w:val="28"/>
          <w:szCs w:val="28"/>
        </w:rPr>
        <w:t>-</w:t>
        <w:tab/>
        <w:t>розпоряджається в установленому порядку майном і коштами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w:t>
        <w:tab/>
        <w:t>вирішує питання матеріально – технічного забезпечення;</w:t>
      </w:r>
    </w:p>
    <w:p>
      <w:pPr>
        <w:tabs>
          <w:tab w:val="left" w:pos="567"/>
        </w:tabs>
        <w:ind w:firstLine="567"/>
        <w:jc w:val="both"/>
        <w:rPr>
          <w:rFonts w:ascii="Times New Roman" w:hAnsi="Times New Roman"/>
          <w:sz w:val="28"/>
          <w:szCs w:val="28"/>
        </w:rPr>
      </w:pPr>
      <w:r>
        <w:rPr>
          <w:rFonts w:ascii="Times New Roman" w:hAnsi="Times New Roman"/>
          <w:sz w:val="28"/>
          <w:szCs w:val="28"/>
        </w:rPr>
        <w:t>- несе відповідальність за виконання покладених на Заклад завдань, результати фінансово-господарської діяльності, стан, збереження, списання та втрати в будь-якій формі майна, переданого в оперативне управління Закладу, відповідно до законодавства України;</w:t>
      </w:r>
    </w:p>
    <w:p>
      <w:pPr>
        <w:tabs>
          <w:tab w:val="left" w:pos="567"/>
        </w:tabs>
        <w:ind w:firstLine="567"/>
        <w:jc w:val="both"/>
        <w:rPr>
          <w:rFonts w:ascii="Times New Roman" w:hAnsi="Times New Roman"/>
          <w:sz w:val="28"/>
          <w:szCs w:val="28"/>
        </w:rPr>
      </w:pPr>
      <w:r>
        <w:rPr>
          <w:rFonts w:ascii="Times New Roman" w:hAnsi="Times New Roman"/>
          <w:sz w:val="28"/>
          <w:szCs w:val="28"/>
        </w:rPr>
        <w:t>-</w:t>
        <w:tab/>
        <w:t>організовує виконання кошторису доходів та видатків Закладу, укладає угоди з юридичними та фізичними особами, в установленому порядку відкриває рахунки в органах Державної казначейської служби України Київської області та установах банків;</w:t>
      </w:r>
    </w:p>
    <w:p>
      <w:pPr>
        <w:tabs>
          <w:tab w:val="left" w:pos="567"/>
        </w:tabs>
        <w:ind w:firstLine="567"/>
        <w:jc w:val="both"/>
        <w:rPr>
          <w:rFonts w:ascii="Times New Roman" w:hAnsi="Times New Roman"/>
          <w:sz w:val="28"/>
          <w:szCs w:val="28"/>
        </w:rPr>
      </w:pPr>
      <w:r>
        <w:rPr>
          <w:rFonts w:ascii="Times New Roman" w:hAnsi="Times New Roman"/>
          <w:sz w:val="28"/>
          <w:szCs w:val="28"/>
        </w:rPr>
        <w:t>-</w:t>
        <w:tab/>
        <w:t xml:space="preserve">складає та подає на затвердження Органу управління плани роботи Закладу та забезпечує контроль за виконанням планів, програм;  </w:t>
      </w:r>
    </w:p>
    <w:p>
      <w:pPr>
        <w:tabs>
          <w:tab w:val="left" w:pos="567"/>
        </w:tabs>
        <w:ind w:firstLine="567"/>
        <w:jc w:val="both"/>
        <w:rPr>
          <w:rFonts w:ascii="Times New Roman" w:hAnsi="Times New Roman"/>
          <w:sz w:val="28"/>
          <w:szCs w:val="28"/>
        </w:rPr>
      </w:pPr>
      <w:r>
        <w:rPr>
          <w:rFonts w:ascii="Times New Roman" w:hAnsi="Times New Roman"/>
          <w:sz w:val="28"/>
          <w:szCs w:val="28"/>
        </w:rPr>
        <w:t>-</w:t>
        <w:tab/>
        <w:t>організовує ведення обліку, звітності, внутрішнього контролю;</w:t>
      </w:r>
    </w:p>
    <w:p>
      <w:pPr>
        <w:tabs>
          <w:tab w:val="left" w:pos="567"/>
        </w:tabs>
        <w:ind w:firstLine="567"/>
        <w:jc w:val="both"/>
        <w:rPr>
          <w:rFonts w:ascii="Times New Roman" w:hAnsi="Times New Roman"/>
          <w:sz w:val="28"/>
          <w:szCs w:val="28"/>
        </w:rPr>
      </w:pPr>
      <w:r>
        <w:rPr>
          <w:rFonts w:ascii="Times New Roman" w:hAnsi="Times New Roman"/>
          <w:sz w:val="28"/>
          <w:szCs w:val="28"/>
        </w:rPr>
        <w:t>-</w:t>
        <w:tab/>
        <w:t>здійснює керівництво та контроль за роботою працівників, створює належні умови для підвищення фахового рівня;</w:t>
      </w:r>
    </w:p>
    <w:p>
      <w:pPr>
        <w:tabs>
          <w:tab w:val="left" w:pos="567"/>
        </w:tabs>
        <w:ind w:firstLine="567"/>
        <w:jc w:val="both"/>
        <w:rPr>
          <w:rFonts w:ascii="Times New Roman" w:hAnsi="Times New Roman"/>
          <w:sz w:val="28"/>
          <w:szCs w:val="28"/>
        </w:rPr>
      </w:pPr>
      <w:r>
        <w:rPr>
          <w:rFonts w:ascii="Times New Roman" w:hAnsi="Times New Roman"/>
          <w:sz w:val="28"/>
          <w:szCs w:val="28"/>
        </w:rPr>
        <w:t>-</w:t>
        <w:tab/>
        <w:t>призначає на посаду і звільняє з посади працівників Закладу відповідно до чинного законодавства за погодженням  з Органом управління;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створює належні умови працівникам для високопродуктивної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укладає колективний договір і несе відповідальність за його виконання;</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розподіляє обов’язки та затверджує посадові інструкції працівників Закладу;</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 xml:space="preserve">встановлює надбавки, доплати, премії, надає матеріальну допомогу працівникам закладу, вживає заходи дисциплінарного стягнення та заохочення працівників Закладу відповідно до законодавства України;  </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у межах своєї компетенції видає накази, обов’язкові для виконання всіма працівниками Закладу, і здійснює контроль за їх виконанням;</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на вимогу Засновника або Органу управління у встановлений ними термін надає інформацію стосовно діяльності Закладу;</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несе відповідальність за достовірність і своєчасність подання статистичної та іншої звітності;</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вчиняє інші дії в порядку й межах, встановлених законодавством України;</w:t>
      </w:r>
    </w:p>
    <w:p>
      <w:pPr>
        <w:tabs>
          <w:tab w:val="left" w:pos="567"/>
        </w:tabs>
        <w:ind w:firstLine="567"/>
        <w:jc w:val="both"/>
        <w:rPr>
          <w:rFonts w:ascii="Times New Roman" w:hAnsi="Times New Roman"/>
          <w:strike/>
          <w:sz w:val="28"/>
          <w:szCs w:val="28"/>
        </w:rPr>
      </w:pPr>
      <w:r>
        <w:rPr>
          <w:rFonts w:ascii="Times New Roman" w:hAnsi="Times New Roman"/>
          <w:sz w:val="28"/>
          <w:szCs w:val="28"/>
        </w:rPr>
        <w:t>-</w:t>
        <w:tab/>
        <w:t>у випадку невиконання чи неналежного виконання обов’язків, передбачених цим Статутом та контрактом, несе відповідальність згідно з законодавством.</w:t>
      </w:r>
    </w:p>
    <w:p>
      <w:pPr>
        <w:tabs>
          <w:tab w:val="left" w:pos="567"/>
        </w:tabs>
        <w:ind w:firstLine="567"/>
        <w:jc w:val="both"/>
        <w:rPr>
          <w:rFonts w:ascii="Times New Roman" w:hAnsi="Times New Roman"/>
          <w:b/>
          <w:bCs/>
          <w:sz w:val="28"/>
          <w:szCs w:val="28"/>
        </w:rPr>
      </w:pPr>
      <w:r>
        <w:rPr>
          <w:rFonts w:ascii="Times New Roman" w:hAnsi="Times New Roman"/>
          <w:bCs/>
          <w:sz w:val="28"/>
          <w:szCs w:val="28"/>
        </w:rPr>
        <w:t xml:space="preserve">4.7 </w:t>
      </w:r>
      <w:r>
        <w:rPr>
          <w:rFonts w:ascii="Times New Roman" w:hAnsi="Times New Roman"/>
          <w:sz w:val="28"/>
          <w:szCs w:val="28"/>
        </w:rPr>
        <w:t>У разі відсутності Керівника його обов’язки виконує уповноважена ним особа, на підставі відповідного наказу та погоджена з Органом управління.</w:t>
      </w:r>
    </w:p>
    <w:p>
      <w:pPr>
        <w:tabs>
          <w:tab w:val="left" w:pos="567"/>
        </w:tabs>
        <w:ind w:firstLine="567"/>
        <w:jc w:val="both"/>
        <w:rPr>
          <w:rFonts w:ascii="Times New Roman" w:hAnsi="Times New Roman"/>
          <w:b/>
          <w:bCs/>
          <w:sz w:val="28"/>
          <w:szCs w:val="28"/>
        </w:rPr>
      </w:pPr>
      <w:r>
        <w:rPr>
          <w:rFonts w:ascii="Times New Roman" w:hAnsi="Times New Roman"/>
          <w:bCs/>
          <w:sz w:val="28"/>
          <w:szCs w:val="28"/>
        </w:rPr>
        <w:t>4.8 Відносини з трудовим колективом формуються згідно з чинним законодавством.</w:t>
      </w:r>
    </w:p>
    <w:p>
      <w:pPr>
        <w:tabs>
          <w:tab w:val="left" w:pos="567"/>
        </w:tabs>
        <w:ind w:firstLine="567"/>
        <w:jc w:val="both"/>
        <w:rPr>
          <w:rFonts w:ascii="Times New Roman" w:hAnsi="Times New Roman"/>
          <w:bCs/>
          <w:sz w:val="28"/>
          <w:szCs w:val="28"/>
        </w:rPr>
      </w:pPr>
      <w:r>
        <w:rPr>
          <w:rFonts w:ascii="Times New Roman" w:hAnsi="Times New Roman"/>
          <w:bCs/>
          <w:sz w:val="28"/>
          <w:szCs w:val="28"/>
        </w:rPr>
        <w:t>4.</w:t>
      </w:r>
      <w:r>
        <w:rPr>
          <w:rFonts w:ascii="Times New Roman" w:hAnsi="Times New Roman"/>
          <w:sz w:val="28"/>
          <w:szCs w:val="28"/>
        </w:rPr>
        <w:t>9</w:t>
      </w:r>
      <w:r>
        <w:rPr>
          <w:rFonts w:ascii="Times New Roman" w:hAnsi="Times New Roman"/>
          <w:b/>
          <w:sz w:val="28"/>
          <w:szCs w:val="28"/>
        </w:rPr>
        <w:t xml:space="preserve"> </w:t>
      </w:r>
      <w:r>
        <w:rPr>
          <w:rFonts w:ascii="Times New Roman" w:hAnsi="Times New Roman"/>
          <w:bCs/>
          <w:sz w:val="28"/>
          <w:szCs w:val="28"/>
        </w:rPr>
        <w:t>Право укладання колективного договору від імені адміністрації Закладу надається Керівнику, а від імені трудового колективу уповноваженому ним органу.</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4.10</w:t>
      </w:r>
      <w:r>
        <w:rPr>
          <w:rFonts w:ascii="Times New Roman" w:hAnsi="Times New Roman"/>
          <w:b/>
          <w:bCs/>
          <w:sz w:val="28"/>
          <w:szCs w:val="28"/>
        </w:rPr>
        <w:t xml:space="preserve"> </w:t>
      </w:r>
      <w:r>
        <w:rPr>
          <w:rFonts w:ascii="Times New Roman" w:hAnsi="Times New Roman"/>
          <w:sz w:val="28"/>
          <w:szCs w:val="28"/>
        </w:rPr>
        <w:t>Органом громадського самоврядування Закладу є загальні збори колективу цього закладу, які скликаються за потребою, але не рідше одного разу на рік.</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4.11</w:t>
      </w:r>
      <w:r>
        <w:rPr>
          <w:rFonts w:ascii="Times New Roman" w:hAnsi="Times New Roman"/>
          <w:b/>
          <w:bCs/>
          <w:sz w:val="28"/>
          <w:szCs w:val="28"/>
        </w:rPr>
        <w:t xml:space="preserve"> </w:t>
      </w:r>
      <w:r>
        <w:rPr>
          <w:rFonts w:ascii="Times New Roman" w:hAnsi="Times New Roman"/>
          <w:bCs/>
          <w:sz w:val="28"/>
          <w:szCs w:val="28"/>
        </w:rPr>
        <w:t>Засновник здійснює свої права на управління Закладом безпосередньо або через Орган управління.</w:t>
      </w:r>
    </w:p>
    <w:p>
      <w:pPr>
        <w:tabs>
          <w:tab w:val="left" w:pos="567"/>
        </w:tabs>
        <w:ind w:firstLine="567"/>
        <w:jc w:val="both"/>
        <w:rPr>
          <w:rFonts w:ascii="Times New Roman" w:hAnsi="Times New Roman"/>
          <w:b/>
          <w:bCs/>
          <w:sz w:val="28"/>
          <w:szCs w:val="28"/>
        </w:rPr>
      </w:pPr>
      <w:r>
        <w:rPr>
          <w:rFonts w:ascii="Times New Roman" w:hAnsi="Times New Roman"/>
          <w:bCs/>
          <w:sz w:val="28"/>
          <w:szCs w:val="28"/>
        </w:rPr>
        <w:t>4.12 До компетенції Засновника відносяться:</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внесення змін та доповнень до Статуту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прийняття рішення про ліквідацію чи реорганізацію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прийняття рішення про відчуження фондів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інші повноваження, передбачені чиним законодавством.</w:t>
      </w:r>
    </w:p>
    <w:p>
      <w:pPr>
        <w:tabs>
          <w:tab w:val="left" w:pos="567"/>
        </w:tabs>
        <w:ind w:firstLine="567"/>
        <w:jc w:val="both"/>
        <w:rPr>
          <w:rFonts w:ascii="Times New Roman" w:hAnsi="Times New Roman"/>
          <w:bCs/>
          <w:sz w:val="28"/>
          <w:szCs w:val="28"/>
        </w:rPr>
      </w:pPr>
      <w:r>
        <w:rPr>
          <w:rFonts w:ascii="Times New Roman" w:hAnsi="Times New Roman"/>
          <w:sz w:val="28"/>
          <w:szCs w:val="28"/>
        </w:rPr>
        <w:t>4.13</w:t>
      </w:r>
      <w:r>
        <w:rPr>
          <w:rFonts w:ascii="Times New Roman" w:hAnsi="Times New Roman"/>
          <w:bCs/>
          <w:sz w:val="28"/>
          <w:szCs w:val="28"/>
        </w:rPr>
        <w:t xml:space="preserve"> До повноважень Органу управління належить: </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призначення, звільнення, преміювання та притягнення до дисциплінарної відповідальності Керівника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забезпечення контролю за виконанням актів законодавства щодо діяльності Закладу;</w:t>
      </w:r>
    </w:p>
    <w:p>
      <w:pPr>
        <w:tabs>
          <w:tab w:val="left" w:pos="567"/>
        </w:tabs>
        <w:ind w:firstLine="567"/>
        <w:jc w:val="both"/>
        <w:rPr>
          <w:rFonts w:ascii="Times New Roman" w:hAnsi="Times New Roman"/>
          <w:bCs/>
          <w:sz w:val="28"/>
          <w:szCs w:val="28"/>
        </w:rPr>
      </w:pPr>
      <w:r>
        <w:rPr>
          <w:rFonts w:ascii="Times New Roman" w:hAnsi="Times New Roman"/>
          <w:bCs/>
          <w:sz w:val="28"/>
          <w:szCs w:val="28"/>
        </w:rPr>
        <w:t>- затвердження штатного розпису;</w:t>
      </w:r>
    </w:p>
    <w:p>
      <w:pPr>
        <w:tabs>
          <w:tab w:val="left" w:pos="567"/>
        </w:tabs>
        <w:ind w:firstLine="567"/>
        <w:jc w:val="both"/>
        <w:rPr>
          <w:rFonts w:ascii="Times New Roman" w:hAnsi="Times New Roman"/>
          <w:bCs/>
          <w:sz w:val="28"/>
          <w:szCs w:val="28"/>
        </w:rPr>
      </w:pPr>
      <w:r>
        <w:rPr>
          <w:rFonts w:ascii="Times New Roman" w:hAnsi="Times New Roman"/>
          <w:bCs/>
          <w:sz w:val="28"/>
          <w:szCs w:val="28"/>
        </w:rPr>
        <w:t>-</w:t>
        <w:tab/>
        <w:t xml:space="preserve">здійснення інших повноважень щодо управління роботою Закладу згідно з чинним законодавством України і відповідно до рішень Засновника. </w:t>
      </w:r>
    </w:p>
    <w:p>
      <w:pPr>
        <w:tabs>
          <w:tab w:val="left" w:pos="567"/>
        </w:tabs>
        <w:ind w:firstLine="567"/>
        <w:jc w:val="center"/>
        <w:rPr>
          <w:rFonts w:ascii="Times New Roman" w:hAnsi="Times New Roman"/>
          <w:b/>
          <w:bCs/>
          <w:caps/>
          <w:sz w:val="28"/>
          <w:szCs w:val="28"/>
        </w:rPr>
      </w:pPr>
      <w:r>
        <w:rPr>
          <w:rFonts w:ascii="Times New Roman" w:hAnsi="Times New Roman"/>
          <w:b/>
          <w:bCs/>
          <w:sz w:val="28"/>
          <w:szCs w:val="28"/>
        </w:rPr>
        <w:t xml:space="preserve"> 5. </w:t>
      </w:r>
      <w:r>
        <w:rPr>
          <w:rFonts w:ascii="Times New Roman" w:hAnsi="Times New Roman"/>
          <w:b/>
          <w:bCs/>
          <w:caps/>
          <w:sz w:val="28"/>
          <w:szCs w:val="28"/>
        </w:rPr>
        <w:t>Трудовий колектив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 xml:space="preserve">5.1 Трудовий колектив </w:t>
      </w:r>
      <w:r>
        <w:rPr>
          <w:rFonts w:ascii="Times New Roman" w:hAnsi="Times New Roman"/>
          <w:sz w:val="28"/>
          <w:szCs w:val="28"/>
          <w:lang w:val="ru-RU"/>
        </w:rPr>
        <w:t>Закладу</w:t>
      </w:r>
      <w:r>
        <w:rPr>
          <w:rFonts w:ascii="Times New Roman" w:hAnsi="Times New Roman"/>
          <w:sz w:val="28"/>
          <w:szCs w:val="28"/>
        </w:rPr>
        <w:t xml:space="preserve"> становлять усі фізичні особи, які беруть участь у діяльності закладу на основі трудового договору, а також інших форм, що регламентують трудові відносини працівника з Закладом.</w:t>
      </w:r>
    </w:p>
    <w:p>
      <w:pPr>
        <w:tabs>
          <w:tab w:val="left" w:pos="567"/>
        </w:tabs>
        <w:ind w:firstLine="567"/>
        <w:jc w:val="both"/>
        <w:rPr>
          <w:rFonts w:ascii="Times New Roman" w:hAnsi="Times New Roman"/>
          <w:sz w:val="28"/>
          <w:szCs w:val="28"/>
        </w:rPr>
      </w:pPr>
      <w:r>
        <w:rPr>
          <w:rFonts w:ascii="Times New Roman" w:hAnsi="Times New Roman"/>
          <w:sz w:val="28"/>
          <w:szCs w:val="28"/>
        </w:rPr>
        <w:t>5.2 Інтереси трудового колективу представляє профспілковий комітет або особа,  уповноважена загальними зборами колективу.</w:t>
      </w:r>
    </w:p>
    <w:p>
      <w:pPr>
        <w:tabs>
          <w:tab w:val="left" w:pos="567"/>
        </w:tabs>
        <w:ind w:firstLine="567"/>
        <w:jc w:val="both"/>
        <w:rPr>
          <w:rFonts w:ascii="Times New Roman" w:hAnsi="Times New Roman"/>
          <w:sz w:val="28"/>
          <w:szCs w:val="28"/>
        </w:rPr>
      </w:pPr>
      <w:r>
        <w:rPr>
          <w:rFonts w:ascii="Times New Roman" w:hAnsi="Times New Roman"/>
          <w:sz w:val="28"/>
          <w:szCs w:val="28"/>
        </w:rPr>
        <w:t>5.3 Працівники Закладу підлягають обов'язковому соціальному страхуванню та забезпеченню, згідно до чинного законодавства.</w:t>
      </w:r>
    </w:p>
    <w:p>
      <w:pPr>
        <w:tabs>
          <w:tab w:val="left" w:pos="567"/>
        </w:tabs>
        <w:ind w:firstLine="567"/>
        <w:jc w:val="both"/>
        <w:rPr>
          <w:rFonts w:ascii="Times New Roman" w:hAnsi="Times New Roman"/>
          <w:sz w:val="28"/>
          <w:szCs w:val="28"/>
        </w:rPr>
      </w:pPr>
      <w:r>
        <w:rPr>
          <w:rFonts w:ascii="Times New Roman" w:hAnsi="Times New Roman"/>
          <w:sz w:val="28"/>
          <w:szCs w:val="28"/>
        </w:rPr>
        <w:t xml:space="preserve">5.4 Виробничі, трудові та економічні відносини трудового колективу з керівництвом </w:t>
      </w:r>
      <w:r>
        <w:rPr>
          <w:rFonts w:ascii="Times New Roman" w:hAnsi="Times New Roman"/>
          <w:sz w:val="28"/>
          <w:szCs w:val="28"/>
          <w:lang w:val="ru-RU"/>
        </w:rPr>
        <w:t>Закладу</w:t>
      </w:r>
      <w:r>
        <w:rPr>
          <w:rFonts w:ascii="Times New Roman" w:hAnsi="Times New Roman"/>
          <w:sz w:val="28"/>
          <w:szCs w:val="28"/>
        </w:rPr>
        <w:t xml:space="preserve"> регулюються колективним договором, який укладається між адміністрацією та трудовим колективом </w:t>
      </w:r>
      <w:r>
        <w:rPr>
          <w:rFonts w:ascii="Times New Roman" w:hAnsi="Times New Roman"/>
          <w:sz w:val="28"/>
          <w:szCs w:val="28"/>
          <w:lang w:val="ru-RU"/>
        </w:rPr>
        <w:t>Закладу.</w:t>
      </w:r>
      <w:r>
        <w:rPr>
          <w:rFonts w:ascii="Times New Roman" w:hAnsi="Times New Roman"/>
          <w:sz w:val="28"/>
          <w:szCs w:val="28"/>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1" w:name="n306"/>
      <w:bookmarkEnd w:id="1"/>
    </w:p>
    <w:p>
      <w:pPr>
        <w:tabs>
          <w:tab w:val="left" w:pos="567"/>
        </w:tabs>
        <w:ind w:firstLine="567"/>
        <w:jc w:val="both"/>
        <w:rPr>
          <w:rFonts w:ascii="Times New Roman" w:hAnsi="Times New Roman"/>
          <w:sz w:val="28"/>
          <w:szCs w:val="28"/>
        </w:rPr>
      </w:pPr>
      <w:r>
        <w:rPr>
          <w:rFonts w:ascii="Times New Roman" w:hAnsi="Times New Roman"/>
          <w:sz w:val="28"/>
          <w:szCs w:val="28"/>
        </w:rPr>
        <w:t xml:space="preserve">5.5 Формування кадрового складу працівників Закладу проводиться відповідно до чинного законодавства України.  </w:t>
      </w:r>
    </w:p>
    <w:p>
      <w:pPr>
        <w:tabs>
          <w:tab w:val="left" w:pos="567"/>
        </w:tabs>
        <w:ind w:firstLine="567"/>
        <w:jc w:val="both"/>
        <w:rPr>
          <w:rFonts w:ascii="Times New Roman" w:hAnsi="Times New Roman"/>
          <w:sz w:val="28"/>
          <w:szCs w:val="28"/>
        </w:rPr>
      </w:pPr>
      <w:r>
        <w:rPr>
          <w:rFonts w:ascii="Times New Roman" w:hAnsi="Times New Roman"/>
          <w:sz w:val="28"/>
          <w:szCs w:val="28"/>
        </w:rPr>
        <w:t>5.6 Працівники Закладу у встановленому порядку несуть матеріальну відповідальність за майно, устаткування та інвентар Закладу, надані їм для здійснення статутної діяльності, згідно з договорами про матеріальну відповідальність.</w:t>
      </w:r>
    </w:p>
    <w:p>
      <w:pPr>
        <w:tabs>
          <w:tab w:val="left" w:pos="567"/>
        </w:tabs>
        <w:ind w:firstLine="567"/>
        <w:jc w:val="both"/>
        <w:rPr>
          <w:rFonts w:ascii="Times New Roman" w:hAnsi="Times New Roman"/>
          <w:sz w:val="28"/>
          <w:szCs w:val="28"/>
        </w:rPr>
      </w:pPr>
      <w:r>
        <w:rPr>
          <w:rFonts w:ascii="Times New Roman" w:hAnsi="Times New Roman"/>
          <w:sz w:val="28"/>
          <w:szCs w:val="28"/>
        </w:rPr>
        <w:t>5.7  Керівником Закладу складається штатний розпис, кошторис на утримання Закладу, які затверджуються Органом управління.</w:t>
      </w:r>
    </w:p>
    <w:p>
      <w:pPr>
        <w:tabs>
          <w:tab w:val="left" w:pos="567"/>
        </w:tabs>
        <w:ind w:firstLine="567"/>
        <w:jc w:val="both"/>
        <w:rPr>
          <w:rFonts w:ascii="Times New Roman" w:hAnsi="Times New Roman"/>
          <w:sz w:val="28"/>
          <w:szCs w:val="28"/>
        </w:rPr>
      </w:pPr>
      <w:r>
        <w:rPr>
          <w:rFonts w:ascii="Times New Roman" w:hAnsi="Times New Roman"/>
          <w:sz w:val="28"/>
          <w:szCs w:val="28"/>
        </w:rPr>
        <w:t>5.8  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 України.</w:t>
      </w:r>
    </w:p>
    <w:p>
      <w:pPr>
        <w:tabs>
          <w:tab w:val="left" w:pos="567"/>
        </w:tabs>
        <w:ind w:firstLine="567"/>
        <w:jc w:val="both"/>
        <w:rPr>
          <w:rFonts w:ascii="Times New Roman" w:hAnsi="Times New Roman"/>
          <w:b/>
          <w:bCs/>
          <w:caps/>
          <w:sz w:val="28"/>
          <w:szCs w:val="28"/>
        </w:rPr>
      </w:pPr>
    </w:p>
    <w:p>
      <w:pPr>
        <w:tabs>
          <w:tab w:val="left" w:pos="567"/>
          <w:tab w:val="left" w:pos="960"/>
          <w:tab w:val="left" w:pos="1215"/>
          <w:tab w:val="center" w:pos="4819"/>
        </w:tabs>
        <w:ind w:firstLine="567"/>
        <w:jc w:val="center"/>
        <w:rPr>
          <w:rFonts w:ascii="Times New Roman" w:hAnsi="Times New Roman"/>
          <w:b/>
          <w:bCs/>
          <w:caps/>
          <w:sz w:val="28"/>
          <w:szCs w:val="28"/>
        </w:rPr>
      </w:pPr>
      <w:r>
        <w:rPr>
          <w:rFonts w:ascii="Times New Roman" w:hAnsi="Times New Roman"/>
          <w:b/>
          <w:sz w:val="28"/>
          <w:szCs w:val="28"/>
        </w:rPr>
        <w:t xml:space="preserve"> </w:t>
      </w:r>
      <w:r>
        <w:rPr>
          <w:rFonts w:ascii="Times New Roman" w:hAnsi="Times New Roman"/>
          <w:b/>
          <w:bCs/>
          <w:caps/>
          <w:sz w:val="28"/>
          <w:szCs w:val="28"/>
        </w:rPr>
        <w:t xml:space="preserve">6. ФІНАНСОВО-Господарська, економічна </w:t>
        <w:br/>
        <w:t>і соціальна діяльність Закладу</w:t>
      </w:r>
    </w:p>
    <w:p>
      <w:pPr>
        <w:tabs>
          <w:tab w:val="left" w:pos="567"/>
        </w:tabs>
        <w:ind w:firstLine="579"/>
        <w:jc w:val="both"/>
        <w:rPr>
          <w:rFonts w:ascii="Times New Roman" w:hAnsi="Times New Roman"/>
          <w:sz w:val="28"/>
          <w:szCs w:val="28"/>
        </w:rPr>
      </w:pPr>
      <w:r>
        <w:rPr>
          <w:rFonts w:ascii="Times New Roman" w:hAnsi="Times New Roman"/>
          <w:sz w:val="28"/>
          <w:szCs w:val="28"/>
          <w:lang w:val="ru-RU"/>
        </w:rPr>
        <w:t>6.1 Фінансово-г</w:t>
      </w:r>
      <w:r>
        <w:rPr>
          <w:rFonts w:ascii="Times New Roman" w:hAnsi="Times New Roman"/>
          <w:sz w:val="28"/>
          <w:szCs w:val="28"/>
        </w:rPr>
        <w:t>осподарська</w:t>
      </w:r>
      <w:r>
        <w:rPr>
          <w:rFonts w:ascii="Times New Roman" w:hAnsi="Times New Roman"/>
          <w:sz w:val="28"/>
          <w:szCs w:val="28"/>
          <w:lang w:val="ru-RU"/>
        </w:rPr>
        <w:t xml:space="preserve">, </w:t>
      </w:r>
      <w:r>
        <w:rPr>
          <w:rFonts w:ascii="Times New Roman" w:hAnsi="Times New Roman"/>
          <w:sz w:val="28"/>
          <w:szCs w:val="28"/>
        </w:rPr>
        <w:t xml:space="preserve">економічна і соціальна діяльність </w:t>
      </w:r>
      <w:r>
        <w:rPr>
          <w:rFonts w:ascii="Times New Roman" w:hAnsi="Times New Roman"/>
          <w:sz w:val="28"/>
          <w:szCs w:val="28"/>
          <w:lang w:val="ru-RU"/>
        </w:rPr>
        <w:t>Закладу</w:t>
      </w:r>
      <w:r>
        <w:rPr>
          <w:rFonts w:ascii="Times New Roman" w:hAnsi="Times New Roman"/>
          <w:sz w:val="28"/>
          <w:szCs w:val="28"/>
        </w:rPr>
        <w:t xml:space="preserve"> здійснюється відповідно до чинного законодавства України та цього Статуту.</w:t>
      </w:r>
    </w:p>
    <w:p>
      <w:pPr>
        <w:tabs>
          <w:tab w:val="left" w:pos="567"/>
        </w:tabs>
        <w:ind w:firstLine="567"/>
        <w:jc w:val="both"/>
        <w:rPr>
          <w:rFonts w:ascii="Times New Roman" w:hAnsi="Times New Roman"/>
          <w:sz w:val="28"/>
          <w:szCs w:val="28"/>
        </w:rPr>
      </w:pPr>
      <w:r>
        <w:rPr>
          <w:rFonts w:ascii="Times New Roman" w:hAnsi="Times New Roman"/>
          <w:sz w:val="28"/>
          <w:szCs w:val="28"/>
        </w:rPr>
        <w:t>6.2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pPr>
        <w:tabs>
          <w:tab w:val="left" w:pos="567"/>
        </w:tabs>
        <w:ind w:firstLine="567"/>
        <w:jc w:val="both"/>
        <w:rPr>
          <w:rFonts w:ascii="Times New Roman" w:hAnsi="Times New Roman"/>
          <w:sz w:val="28"/>
          <w:szCs w:val="28"/>
        </w:rPr>
      </w:pPr>
      <w:r>
        <w:rPr>
          <w:rFonts w:ascii="Times New Roman" w:hAnsi="Times New Roman"/>
          <w:sz w:val="28"/>
          <w:szCs w:val="28"/>
        </w:rPr>
        <w:t>6.3 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надано право контролю за відповідними напрямками діяльності відповідно законодавству України.</w:t>
      </w:r>
    </w:p>
    <w:p>
      <w:pPr>
        <w:tabs>
          <w:tab w:val="left" w:pos="567"/>
        </w:tabs>
        <w:ind w:firstLine="567"/>
        <w:jc w:val="both"/>
        <w:rPr>
          <w:rFonts w:ascii="Times New Roman" w:hAnsi="Times New Roman"/>
          <w:sz w:val="28"/>
          <w:szCs w:val="28"/>
        </w:rPr>
      </w:pPr>
      <w:r>
        <w:rPr>
          <w:rFonts w:ascii="Times New Roman" w:hAnsi="Times New Roman"/>
          <w:sz w:val="28"/>
          <w:szCs w:val="28"/>
        </w:rPr>
        <w:t>6.4 Відповідальність за стан обліку, своєчасної здачі бухгалтерської та іншої звітності, покладається на Керівника та головного бухгалтера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6.5 Контроль за фінансово-господарською діяльністю та ефективним використанням коштів місцевого бюджету Закладу здійснює Орган управління, як головний розпорядник бюджетних коштів, фінансове управління Броварської міської ради  Броварського району Київської області та управління Державної казначейської служби України Київської області.</w:t>
      </w:r>
    </w:p>
    <w:p>
      <w:pPr>
        <w:tabs>
          <w:tab w:val="left" w:pos="567"/>
        </w:tabs>
        <w:ind w:firstLine="567"/>
        <w:jc w:val="both"/>
        <w:rPr>
          <w:rFonts w:ascii="Times New Roman" w:hAnsi="Times New Roman"/>
          <w:color w:val="000000"/>
          <w:sz w:val="28"/>
          <w:szCs w:val="28"/>
        </w:rPr>
      </w:pPr>
      <w:r>
        <w:rPr>
          <w:rFonts w:ascii="Times New Roman" w:hAnsi="Times New Roman"/>
          <w:sz w:val="28"/>
          <w:szCs w:val="28"/>
        </w:rPr>
        <w:t>6.</w:t>
      </w:r>
      <w:r>
        <w:rPr>
          <w:rFonts w:ascii="Times New Roman" w:hAnsi="Times New Roman"/>
          <w:color w:val="000000"/>
          <w:sz w:val="28"/>
          <w:szCs w:val="28"/>
        </w:rPr>
        <w:t>6 Аудит діяльності Закладу здійснюється згідно з чинним законодавством.</w:t>
      </w:r>
    </w:p>
    <w:p>
      <w:pPr>
        <w:tabs>
          <w:tab w:val="left" w:pos="567"/>
        </w:tabs>
        <w:ind w:firstLine="567"/>
        <w:jc w:val="both"/>
        <w:rPr>
          <w:rFonts w:ascii="Times New Roman" w:hAnsi="Times New Roman"/>
          <w:sz w:val="28"/>
          <w:szCs w:val="28"/>
        </w:rPr>
      </w:pPr>
      <w:r>
        <w:rPr>
          <w:rFonts w:ascii="Times New Roman" w:hAnsi="Times New Roman"/>
          <w:sz w:val="28"/>
          <w:szCs w:val="28"/>
        </w:rPr>
        <w:t>6.7 Фінансування Закладу здійснюється за рахунок коштів місцевого бюджету, додаткових джерел фінансування та інших надходжень не заборонених чинним законодавством.</w:t>
      </w:r>
    </w:p>
    <w:p>
      <w:pPr>
        <w:tabs>
          <w:tab w:val="left" w:pos="567"/>
        </w:tabs>
        <w:ind w:firstLine="567"/>
        <w:jc w:val="both"/>
        <w:rPr>
          <w:rFonts w:ascii="Times New Roman" w:hAnsi="Times New Roman"/>
          <w:sz w:val="28"/>
          <w:szCs w:val="28"/>
        </w:rPr>
      </w:pPr>
      <w:r>
        <w:rPr>
          <w:rFonts w:ascii="Times New Roman" w:hAnsi="Times New Roman"/>
          <w:sz w:val="28"/>
          <w:szCs w:val="28"/>
        </w:rPr>
        <w:t xml:space="preserve">6.8 Джерелами формування коштів Закладу є: </w:t>
      </w:r>
    </w:p>
    <w:p>
      <w:pPr>
        <w:tabs>
          <w:tab w:val="left" w:pos="567"/>
        </w:tabs>
        <w:ind w:firstLine="567"/>
        <w:jc w:val="both"/>
        <w:rPr>
          <w:rFonts w:ascii="Times New Roman" w:hAnsi="Times New Roman"/>
          <w:sz w:val="28"/>
          <w:szCs w:val="28"/>
        </w:rPr>
      </w:pPr>
      <w:r>
        <w:rPr>
          <w:rFonts w:ascii="Times New Roman" w:hAnsi="Times New Roman"/>
          <w:sz w:val="28"/>
          <w:szCs w:val="28"/>
        </w:rPr>
        <w:t>-</w:t>
        <w:tab/>
        <w:t>кошти місцевого бюджету;</w:t>
      </w:r>
    </w:p>
    <w:p>
      <w:pPr>
        <w:tabs>
          <w:tab w:val="left" w:pos="567"/>
        </w:tabs>
        <w:ind w:firstLine="567"/>
        <w:jc w:val="both"/>
        <w:rPr>
          <w:rFonts w:ascii="Times New Roman" w:hAnsi="Times New Roman"/>
          <w:sz w:val="28"/>
          <w:szCs w:val="28"/>
        </w:rPr>
      </w:pPr>
      <w:r>
        <w:rPr>
          <w:rFonts w:ascii="Times New Roman" w:hAnsi="Times New Roman"/>
          <w:sz w:val="28"/>
          <w:szCs w:val="28"/>
        </w:rPr>
        <w:t>-</w:t>
        <w:tab/>
        <w:t>кошти, отримані від надання платних послуг відповідно до чинного законодавства;</w:t>
      </w:r>
    </w:p>
    <w:p>
      <w:pPr>
        <w:tabs>
          <w:tab w:val="left" w:pos="567"/>
        </w:tabs>
        <w:ind w:firstLine="567"/>
        <w:jc w:val="both"/>
        <w:rPr>
          <w:rFonts w:ascii="Times New Roman" w:hAnsi="Times New Roman"/>
          <w:sz w:val="28"/>
          <w:szCs w:val="28"/>
        </w:rPr>
      </w:pPr>
      <w:r>
        <w:rPr>
          <w:rFonts w:ascii="Times New Roman" w:hAnsi="Times New Roman"/>
          <w:sz w:val="28"/>
          <w:szCs w:val="28"/>
        </w:rPr>
        <w:t>-</w:t>
        <w:tab/>
        <w:t>добровільні грошові внески, матеріальні цінності підприємств, установ, організацій та окремих громадян;</w:t>
      </w:r>
    </w:p>
    <w:p>
      <w:pPr>
        <w:tabs>
          <w:tab w:val="left" w:pos="567"/>
        </w:tabs>
        <w:ind w:firstLine="567"/>
        <w:jc w:val="both"/>
        <w:rPr>
          <w:rFonts w:ascii="Times New Roman" w:hAnsi="Times New Roman"/>
          <w:sz w:val="28"/>
          <w:szCs w:val="28"/>
        </w:rPr>
      </w:pPr>
      <w:r>
        <w:rPr>
          <w:rFonts w:ascii="Times New Roman" w:hAnsi="Times New Roman"/>
          <w:sz w:val="28"/>
          <w:szCs w:val="28"/>
        </w:rPr>
        <w:t>-</w:t>
        <w:tab/>
        <w:t>добровільні та благодійні внески юридичних і фізичних осіб, у тому числі з інших держав;</w:t>
      </w:r>
    </w:p>
    <w:p>
      <w:pPr>
        <w:tabs>
          <w:tab w:val="left" w:pos="567"/>
        </w:tabs>
        <w:ind w:firstLine="567"/>
        <w:jc w:val="both"/>
        <w:rPr>
          <w:rFonts w:ascii="Times New Roman" w:hAnsi="Times New Roman"/>
          <w:sz w:val="28"/>
          <w:szCs w:val="28"/>
        </w:rPr>
      </w:pPr>
      <w:r>
        <w:rPr>
          <w:rFonts w:ascii="Times New Roman" w:hAnsi="Times New Roman"/>
          <w:sz w:val="28"/>
          <w:szCs w:val="28"/>
        </w:rPr>
        <w:t>-</w:t>
        <w:tab/>
        <w:t>інші надходження, не заборонені чинним законодавством України.</w:t>
      </w:r>
    </w:p>
    <w:p>
      <w:pPr>
        <w:tabs>
          <w:tab w:val="left" w:pos="567"/>
        </w:tabs>
        <w:jc w:val="both"/>
        <w:rPr>
          <w:rFonts w:ascii="Times New Roman" w:hAnsi="Times New Roman"/>
          <w:sz w:val="28"/>
          <w:szCs w:val="28"/>
        </w:rPr>
      </w:pPr>
      <w:r>
        <w:rPr>
          <w:rFonts w:ascii="Times New Roman" w:hAnsi="Times New Roman"/>
          <w:sz w:val="28"/>
          <w:szCs w:val="28"/>
        </w:rPr>
        <w:t>Кошти, отримані Закладом з додаткових джерел фінансування, використовуються для провадження діяльності, передбаченої Статутом.</w:t>
      </w:r>
    </w:p>
    <w:p>
      <w:pPr>
        <w:tabs>
          <w:tab w:val="left" w:pos="567"/>
        </w:tabs>
        <w:ind w:firstLine="567"/>
        <w:jc w:val="both"/>
        <w:rPr>
          <w:rFonts w:ascii="Times New Roman" w:hAnsi="Times New Roman"/>
          <w:sz w:val="28"/>
          <w:szCs w:val="28"/>
        </w:rPr>
      </w:pPr>
      <w:r>
        <w:rPr>
          <w:rFonts w:ascii="Times New Roman" w:hAnsi="Times New Roman"/>
          <w:bCs/>
          <w:sz w:val="28"/>
          <w:szCs w:val="28"/>
        </w:rPr>
        <w:t>6.9</w:t>
      </w:r>
      <w:r>
        <w:rPr>
          <w:rFonts w:ascii="Times New Roman" w:hAnsi="Times New Roman"/>
          <w:sz w:val="28"/>
          <w:szCs w:val="28"/>
        </w:rPr>
        <w:t xml:space="preserve"> Кошти, перераховані у п.6.8 зараховуються на рахунки, відкриті в установах Державного казначейства та використовуються відповідно кошторису.</w:t>
      </w:r>
    </w:p>
    <w:p>
      <w:pPr>
        <w:tabs>
          <w:tab w:val="left" w:pos="567"/>
        </w:tabs>
        <w:ind w:firstLine="567"/>
        <w:jc w:val="both"/>
        <w:rPr>
          <w:rFonts w:ascii="Times New Roman" w:hAnsi="Times New Roman"/>
          <w:sz w:val="28"/>
          <w:szCs w:val="28"/>
        </w:rPr>
      </w:pPr>
      <w:r>
        <w:rPr>
          <w:rFonts w:ascii="Times New Roman" w:hAnsi="Times New Roman"/>
          <w:sz w:val="28"/>
          <w:szCs w:val="28"/>
        </w:rPr>
        <w:t>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pPr>
        <w:tabs>
          <w:tab w:val="left" w:pos="567"/>
        </w:tabs>
        <w:ind w:firstLine="567"/>
        <w:jc w:val="both"/>
        <w:rPr>
          <w:rFonts w:ascii="Times New Roman" w:hAnsi="Times New Roman"/>
          <w:sz w:val="28"/>
          <w:szCs w:val="28"/>
        </w:rPr>
      </w:pPr>
      <w:r>
        <w:rPr>
          <w:rFonts w:ascii="Times New Roman" w:hAnsi="Times New Roman"/>
          <w:bCs/>
          <w:sz w:val="28"/>
          <w:szCs w:val="28"/>
        </w:rPr>
        <w:t>6.10</w:t>
      </w:r>
      <w:r>
        <w:rPr>
          <w:rFonts w:ascii="Times New Roman" w:hAnsi="Times New Roman"/>
          <w:sz w:val="28"/>
          <w:szCs w:val="28"/>
        </w:rPr>
        <w:t xml:space="preserve"> Кошти, матеріальні цінності та нематеріальні активи Закладу, що надходять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своєї діяльності, використовуються згідно з чинним законодавством України.</w:t>
      </w:r>
    </w:p>
    <w:p>
      <w:pPr>
        <w:pStyle w:val="NormalWeb"/>
        <w:tabs>
          <w:tab w:val="left" w:pos="567"/>
        </w:tabs>
        <w:spacing w:before="0" w:beforeAutospacing="0" w:after="0" w:afterAutospacing="0"/>
        <w:ind w:firstLine="567"/>
        <w:jc w:val="both"/>
        <w:rPr>
          <w:color w:val="000000"/>
          <w:sz w:val="28"/>
          <w:szCs w:val="28"/>
        </w:rPr>
      </w:pPr>
      <w:r>
        <w:rPr>
          <w:bCs/>
          <w:sz w:val="28"/>
          <w:szCs w:val="28"/>
        </w:rPr>
        <w:t>6.11</w:t>
      </w:r>
      <w:r>
        <w:rPr>
          <w:sz w:val="28"/>
          <w:szCs w:val="28"/>
        </w:rPr>
        <w:t xml:space="preserve"> З</w:t>
      </w:r>
      <w:r>
        <w:rPr>
          <w:color w:val="000000"/>
          <w:sz w:val="28"/>
          <w:szCs w:val="28"/>
        </w:rPr>
        <w:t>аклад у процесі провадження фінансово-господарської діяльності має право:</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самостійно розпоряджатися коштами, одержаними від господарської та іншої діяльності відповідно до Статуту Закладу;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розвивати власну матеріально-технічну базу;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володіти, користуватися і розпоряджатися майном відповідно до законодавства України та Статуту;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укладати договори з підрядниками на отримання послуг, що необхідні для ведення господарської та іншої діяльності відповідно до Статуту;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w:t>
        <w:tab/>
        <w:t>виконувати інші дії, що не суперечать законодавству України та Статуту.</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6.12 Матеріально-технічна база Закладу включає приміщення, споруди, обладнання, засоби зв’язку, що перебуває в його користуванні.</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6.13 За Закладом з метою забезпечення діяльності, передбаченої цим Статутом, закріплюються на правах оперативного управління будівлі, споруди, майнові комплекси, а також інше необхідне майно, що є комунальною власністю територіальної громади.</w:t>
      </w:r>
    </w:p>
    <w:p>
      <w:pPr>
        <w:pStyle w:val="NormalWeb"/>
        <w:tabs>
          <w:tab w:val="left" w:pos="567"/>
        </w:tabs>
        <w:spacing w:before="0" w:beforeAutospacing="0" w:after="0" w:afterAutospacing="0"/>
        <w:ind w:firstLine="567"/>
        <w:jc w:val="both"/>
        <w:rPr>
          <w:color w:val="000000"/>
          <w:sz w:val="16"/>
          <w:szCs w:val="16"/>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6.14 Майно, що є комунальною власністю територіальної громади та передане в оперативне управління Закладу, не підлягає вилученню або передачі будь-яким підприємствам, установам, організаціям, крім випадків, передбачених рішенням Засновника.</w:t>
      </w:r>
    </w:p>
    <w:p>
      <w:pPr>
        <w:pStyle w:val="NormalWeb"/>
        <w:tabs>
          <w:tab w:val="left" w:pos="567"/>
        </w:tabs>
        <w:spacing w:before="0" w:beforeAutospacing="0" w:after="0" w:afterAutospacing="0"/>
        <w:ind w:firstLine="567"/>
        <w:jc w:val="both"/>
        <w:rPr>
          <w:color w:val="000000"/>
          <w:sz w:val="28"/>
          <w:szCs w:val="28"/>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6.15</w:t>
      </w:r>
      <w:r>
        <w:rPr>
          <w:b/>
          <w:color w:val="000000"/>
          <w:sz w:val="28"/>
          <w:szCs w:val="28"/>
        </w:rPr>
        <w:t xml:space="preserve"> </w:t>
      </w:r>
      <w:r>
        <w:rPr>
          <w:color w:val="000000"/>
          <w:sz w:val="28"/>
          <w:szCs w:val="28"/>
        </w:rPr>
        <w:t>Майно Закладу, що забезпечує його статутну діяльність, не може бути предметом застави.</w:t>
      </w:r>
    </w:p>
    <w:p>
      <w:pPr>
        <w:pStyle w:val="NormalWeb"/>
        <w:tabs>
          <w:tab w:val="left" w:pos="567"/>
        </w:tabs>
        <w:spacing w:before="0" w:beforeAutospacing="0" w:after="0" w:afterAutospacing="0"/>
        <w:ind w:firstLine="567"/>
        <w:jc w:val="both"/>
        <w:rPr>
          <w:color w:val="000000"/>
          <w:sz w:val="28"/>
          <w:szCs w:val="28"/>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6.16 Майно Закладу складають основні фонди та оборотні кошти, а також цінності, вартість яких відображається у самостійному балансі Закладу.</w:t>
      </w:r>
    </w:p>
    <w:p>
      <w:pPr>
        <w:pStyle w:val="NormalWeb"/>
        <w:tabs>
          <w:tab w:val="left" w:pos="567"/>
        </w:tabs>
        <w:spacing w:before="0" w:beforeAutospacing="0" w:after="0" w:afterAutospacing="0"/>
        <w:ind w:firstLine="567"/>
        <w:jc w:val="both"/>
        <w:rPr>
          <w:color w:val="000000"/>
          <w:sz w:val="28"/>
          <w:szCs w:val="28"/>
        </w:rPr>
      </w:pPr>
    </w:p>
    <w:p>
      <w:pPr>
        <w:pStyle w:val="NormalWeb"/>
        <w:tabs>
          <w:tab w:val="left" w:pos="567"/>
        </w:tabs>
        <w:spacing w:before="0" w:beforeAutospacing="0" w:after="0" w:afterAutospacing="0"/>
        <w:ind w:firstLine="567"/>
        <w:jc w:val="both"/>
        <w:rPr>
          <w:color w:val="000000"/>
          <w:sz w:val="28"/>
          <w:szCs w:val="28"/>
        </w:rPr>
      </w:pPr>
      <w:r>
        <w:rPr>
          <w:color w:val="000000"/>
          <w:sz w:val="28"/>
          <w:szCs w:val="28"/>
        </w:rPr>
        <w:t>6.17 Джерелами формування майна Закладу є:</w:t>
      </w:r>
    </w:p>
    <w:p>
      <w:pPr>
        <w:pStyle w:val="NormalWeb"/>
        <w:tabs>
          <w:tab w:val="left" w:pos="567"/>
        </w:tabs>
        <w:spacing w:before="0" w:beforeAutospacing="0" w:after="0" w:afterAutospacing="0"/>
        <w:ind w:firstLine="567"/>
        <w:jc w:val="both"/>
        <w:rPr>
          <w:color w:val="000000"/>
          <w:sz w:val="16"/>
          <w:szCs w:val="16"/>
        </w:rPr>
      </w:pPr>
    </w:p>
    <w:p>
      <w:pPr>
        <w:pStyle w:val="NormalWeb"/>
        <w:numPr>
          <w:ilvl w:val="0"/>
          <w:numId w:val="3"/>
        </w:numPr>
        <w:tabs>
          <w:tab w:val="left" w:pos="567"/>
        </w:tabs>
        <w:spacing w:before="0" w:beforeAutospacing="0" w:after="0" w:afterAutospacing="0"/>
        <w:ind w:left="0" w:firstLine="567"/>
        <w:jc w:val="both"/>
        <w:rPr>
          <w:color w:val="000000"/>
          <w:sz w:val="28"/>
          <w:szCs w:val="28"/>
        </w:rPr>
      </w:pPr>
      <w:r>
        <w:rPr>
          <w:color w:val="000000"/>
          <w:sz w:val="28"/>
          <w:szCs w:val="28"/>
        </w:rPr>
        <w:t>майно передане йому Засновником;</w:t>
      </w:r>
    </w:p>
    <w:p>
      <w:pPr>
        <w:pStyle w:val="NormalWeb"/>
        <w:tabs>
          <w:tab w:val="left" w:pos="567"/>
        </w:tabs>
        <w:spacing w:before="0" w:beforeAutospacing="0" w:after="0" w:afterAutospacing="0"/>
        <w:ind w:left="567"/>
        <w:jc w:val="both"/>
        <w:rPr>
          <w:color w:val="000000"/>
          <w:sz w:val="16"/>
          <w:szCs w:val="16"/>
        </w:rPr>
      </w:pPr>
    </w:p>
    <w:p>
      <w:pPr>
        <w:pStyle w:val="NormalWeb"/>
        <w:numPr>
          <w:ilvl w:val="0"/>
          <w:numId w:val="3"/>
        </w:numPr>
        <w:tabs>
          <w:tab w:val="left" w:pos="567"/>
        </w:tabs>
        <w:spacing w:before="0" w:beforeAutospacing="0" w:after="0" w:afterAutospacing="0"/>
        <w:ind w:left="0" w:firstLine="567"/>
        <w:jc w:val="both"/>
        <w:rPr>
          <w:color w:val="000000"/>
          <w:sz w:val="28"/>
          <w:szCs w:val="28"/>
        </w:rPr>
      </w:pPr>
      <w:r>
        <w:rPr>
          <w:color w:val="000000"/>
          <w:sz w:val="28"/>
          <w:szCs w:val="28"/>
        </w:rPr>
        <w:t>інше майно, набуте на підставах, не заборонених чинним законодавством.</w:t>
      </w:r>
    </w:p>
    <w:p>
      <w:pPr>
        <w:pStyle w:val="NormalWeb"/>
        <w:tabs>
          <w:tab w:val="left" w:pos="567"/>
        </w:tabs>
        <w:spacing w:before="0" w:beforeAutospacing="0" w:after="0" w:afterAutospacing="0"/>
        <w:jc w:val="both"/>
        <w:rPr>
          <w:color w:val="000000"/>
          <w:sz w:val="16"/>
          <w:szCs w:val="16"/>
        </w:rPr>
      </w:pPr>
    </w:p>
    <w:p>
      <w:pPr>
        <w:tabs>
          <w:tab w:val="left" w:pos="567"/>
        </w:tabs>
        <w:ind w:firstLine="567"/>
        <w:jc w:val="both"/>
        <w:rPr>
          <w:rFonts w:ascii="Times New Roman" w:hAnsi="Times New Roman"/>
          <w:color w:val="000000"/>
          <w:sz w:val="28"/>
          <w:szCs w:val="28"/>
        </w:rPr>
      </w:pPr>
      <w:r>
        <w:rPr>
          <w:rFonts w:ascii="Times New Roman" w:hAnsi="Times New Roman"/>
          <w:bCs/>
          <w:color w:val="000000"/>
          <w:sz w:val="28"/>
          <w:szCs w:val="28"/>
        </w:rPr>
        <w:t>6.18</w:t>
      </w:r>
      <w:r>
        <w:rPr>
          <w:rFonts w:ascii="Times New Roman" w:hAnsi="Times New Roman"/>
          <w:color w:val="000000"/>
          <w:sz w:val="28"/>
          <w:szCs w:val="28"/>
        </w:rPr>
        <w:t xml:space="preserve"> Заклад володіє, користується та розпоряджається зазначеним майном у порядку, визначеному чинним законодавством та цим Статутом.</w:t>
      </w:r>
    </w:p>
    <w:p>
      <w:pPr>
        <w:tabs>
          <w:tab w:val="left" w:pos="567"/>
        </w:tabs>
        <w:ind w:firstLine="567"/>
        <w:jc w:val="center"/>
        <w:rPr>
          <w:rFonts w:ascii="Times New Roman" w:hAnsi="Times New Roman"/>
          <w:b/>
          <w:color w:val="000000"/>
          <w:sz w:val="28"/>
          <w:szCs w:val="28"/>
        </w:rPr>
      </w:pPr>
      <w:r>
        <w:rPr>
          <w:rFonts w:ascii="Times New Roman" w:hAnsi="Times New Roman"/>
          <w:b/>
          <w:color w:val="000000"/>
          <w:sz w:val="28"/>
          <w:szCs w:val="28"/>
        </w:rPr>
        <w:t xml:space="preserve"> 7.  МІЖНАРОДНЕ СПІВРОБІТНИЦТВО</w:t>
      </w:r>
    </w:p>
    <w:p>
      <w:pPr>
        <w:tabs>
          <w:tab w:val="left" w:pos="567"/>
        </w:tabs>
        <w:jc w:val="both"/>
        <w:rPr>
          <w:rFonts w:ascii="Times New Roman" w:hAnsi="Times New Roman"/>
          <w:color w:val="000000"/>
          <w:sz w:val="28"/>
          <w:szCs w:val="28"/>
        </w:rPr>
      </w:pPr>
      <w:r>
        <w:rPr>
          <w:rFonts w:ascii="Times New Roman" w:hAnsi="Times New Roman"/>
          <w:color w:val="000000"/>
          <w:sz w:val="28"/>
          <w:szCs w:val="28"/>
        </w:rPr>
        <w:tab/>
        <w:t>7.1 Заклад за наявності належної матеріально - технічної бази має право проводити в рамках культурного та молодіжного обміну проєкти, встановлювати відповідно до чинного законодавства прямі зв’язки з міжнародними організаціями, благодійними фондами, громадськими організаціями, за погодженням з Органом управління.</w:t>
      </w:r>
    </w:p>
    <w:p>
      <w:pPr>
        <w:tabs>
          <w:tab w:val="left" w:pos="567"/>
        </w:tabs>
        <w:jc w:val="both"/>
        <w:rPr>
          <w:rFonts w:ascii="Times New Roman" w:hAnsi="Times New Roman"/>
          <w:color w:val="000000"/>
          <w:sz w:val="28"/>
          <w:szCs w:val="28"/>
        </w:rPr>
      </w:pPr>
      <w:r>
        <w:rPr>
          <w:rFonts w:ascii="Times New Roman" w:hAnsi="Times New Roman"/>
          <w:color w:val="000000"/>
          <w:sz w:val="28"/>
          <w:szCs w:val="28"/>
        </w:rPr>
        <w:tab/>
        <w:t>7.2  Заклад має право відповідно до чинного законодавства укладати угоди про співробітництво з закладами культури, установами, підприємствами, організаціями, громадськими об’єднаннями, благодійними фондами інших країн, за погодженням з Органом управління.</w:t>
      </w:r>
    </w:p>
    <w:p>
      <w:pPr>
        <w:tabs>
          <w:tab w:val="left" w:pos="567"/>
        </w:tabs>
        <w:ind w:firstLine="567"/>
        <w:jc w:val="center"/>
        <w:rPr>
          <w:rFonts w:ascii="Times New Roman" w:hAnsi="Times New Roman"/>
          <w:b/>
          <w:bCs/>
          <w:sz w:val="28"/>
          <w:szCs w:val="28"/>
        </w:rPr>
      </w:pPr>
      <w:r>
        <w:rPr>
          <w:rFonts w:ascii="Times New Roman" w:hAnsi="Times New Roman"/>
          <w:b/>
          <w:bCs/>
          <w:sz w:val="28"/>
          <w:szCs w:val="28"/>
        </w:rPr>
        <w:t xml:space="preserve"> 8. ПОРЯДОК РЕОРГАНІЗАЦІЇ ТА ЛІКВІДАЦІЇ ЗАКЛАДУ</w:t>
      </w:r>
    </w:p>
    <w:p>
      <w:pPr>
        <w:tabs>
          <w:tab w:val="left" w:pos="567"/>
        </w:tabs>
        <w:ind w:firstLine="567"/>
        <w:jc w:val="both"/>
        <w:rPr>
          <w:rFonts w:ascii="Times New Roman" w:hAnsi="Times New Roman"/>
          <w:sz w:val="28"/>
          <w:szCs w:val="28"/>
        </w:rPr>
      </w:pPr>
      <w:r>
        <w:rPr>
          <w:rFonts w:ascii="Times New Roman" w:hAnsi="Times New Roman"/>
          <w:sz w:val="28"/>
          <w:szCs w:val="28"/>
        </w:rPr>
        <w:t>8.1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pPr>
        <w:tabs>
          <w:tab w:val="left" w:pos="0"/>
        </w:tabs>
        <w:ind w:firstLine="567"/>
        <w:jc w:val="both"/>
        <w:rPr>
          <w:rFonts w:ascii="Times New Roman" w:hAnsi="Times New Roman"/>
          <w:sz w:val="28"/>
          <w:szCs w:val="28"/>
        </w:rPr>
      </w:pPr>
      <w:r>
        <w:rPr>
          <w:rFonts w:ascii="Times New Roman" w:hAnsi="Times New Roman"/>
          <w:bCs/>
          <w:sz w:val="28"/>
          <w:szCs w:val="28"/>
        </w:rPr>
        <w:t xml:space="preserve">8.2 </w:t>
      </w:r>
      <w:r>
        <w:rPr>
          <w:rFonts w:ascii="Times New Roman" w:hAnsi="Times New Roman"/>
          <w:sz w:val="28"/>
          <w:szCs w:val="28"/>
        </w:rPr>
        <w:t>Перейменування Закладу можливе у порядку, передбаченому законодавством України.</w:t>
      </w:r>
    </w:p>
    <w:p>
      <w:pPr>
        <w:tabs>
          <w:tab w:val="left" w:pos="567"/>
        </w:tabs>
        <w:ind w:firstLine="567"/>
        <w:jc w:val="both"/>
        <w:rPr>
          <w:rFonts w:ascii="Times New Roman" w:hAnsi="Times New Roman"/>
          <w:sz w:val="28"/>
          <w:szCs w:val="28"/>
        </w:rPr>
      </w:pPr>
      <w:r>
        <w:rPr>
          <w:rFonts w:ascii="Times New Roman" w:hAnsi="Times New Roman"/>
          <w:bCs/>
          <w:sz w:val="28"/>
          <w:szCs w:val="28"/>
        </w:rPr>
        <w:t>8.3</w:t>
      </w:r>
      <w:r>
        <w:rPr>
          <w:rFonts w:ascii="Times New Roman" w:hAnsi="Times New Roman"/>
          <w:sz w:val="28"/>
          <w:szCs w:val="28"/>
        </w:rPr>
        <w:t xml:space="preserve"> При реорганізації Закладу вся сукупність прав та обов’язків переходить до його правонаступників.</w:t>
      </w:r>
    </w:p>
    <w:p>
      <w:pPr>
        <w:tabs>
          <w:tab w:val="left" w:pos="567"/>
        </w:tabs>
        <w:ind w:firstLine="567"/>
        <w:jc w:val="both"/>
        <w:rPr>
          <w:rFonts w:ascii="Times New Roman" w:hAnsi="Times New Roman"/>
          <w:sz w:val="28"/>
          <w:szCs w:val="28"/>
        </w:rPr>
      </w:pPr>
      <w:r>
        <w:rPr>
          <w:rFonts w:ascii="Times New Roman" w:hAnsi="Times New Roman"/>
          <w:sz w:val="28"/>
          <w:szCs w:val="28"/>
        </w:rPr>
        <w:t>8.4 Ліквідація Закладу здійснюється ліквідаційною комісією, яка утворюється Засновником. До складу ліквідаційної комісії входять представники Засновника та Органу управління. Порядок і терміни проведення ліквідації, а також терміни заявлення претензій кредиторам визначається згідно з чинним законодавством.</w:t>
      </w:r>
    </w:p>
    <w:p>
      <w:pPr>
        <w:tabs>
          <w:tab w:val="left" w:pos="567"/>
        </w:tabs>
        <w:ind w:firstLine="567"/>
        <w:jc w:val="both"/>
        <w:rPr>
          <w:rFonts w:ascii="Times New Roman" w:hAnsi="Times New Roman"/>
          <w:sz w:val="28"/>
          <w:szCs w:val="28"/>
        </w:rPr>
      </w:pPr>
      <w:r>
        <w:rPr>
          <w:rFonts w:ascii="Times New Roman" w:hAnsi="Times New Roman"/>
          <w:sz w:val="28"/>
          <w:szCs w:val="28"/>
        </w:rPr>
        <w:t>8.5 З</w:t>
      </w:r>
      <w:r>
        <w:rPr>
          <w:rFonts w:ascii="Times New Roman" w:hAnsi="Times New Roman"/>
          <w:b/>
          <w:sz w:val="28"/>
          <w:szCs w:val="28"/>
        </w:rPr>
        <w:t xml:space="preserve"> </w:t>
      </w:r>
      <w:r>
        <w:rPr>
          <w:rFonts w:ascii="Times New Roman" w:hAnsi="Times New Roman"/>
          <w:sz w:val="28"/>
          <w:szCs w:val="28"/>
        </w:rPr>
        <w:t>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pPr>
        <w:tabs>
          <w:tab w:val="left" w:pos="567"/>
        </w:tabs>
        <w:ind w:firstLine="567"/>
        <w:jc w:val="both"/>
        <w:rPr>
          <w:rFonts w:ascii="Times New Roman" w:hAnsi="Times New Roman"/>
          <w:sz w:val="28"/>
          <w:szCs w:val="28"/>
        </w:rPr>
      </w:pPr>
      <w:r>
        <w:rPr>
          <w:rFonts w:ascii="Times New Roman" w:hAnsi="Times New Roman"/>
          <w:sz w:val="28"/>
          <w:szCs w:val="28"/>
        </w:rPr>
        <w:t>8.6 Заклад вважається ліквідованим або реорганізованим з моменту його виключення з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pPr>
        <w:tabs>
          <w:tab w:val="left" w:pos="567"/>
        </w:tabs>
        <w:ind w:firstLine="567"/>
        <w:jc w:val="both"/>
        <w:rPr>
          <w:rFonts w:ascii="Times New Roman" w:hAnsi="Times New Roman"/>
          <w:sz w:val="28"/>
          <w:szCs w:val="28"/>
        </w:rPr>
      </w:pPr>
      <w:r>
        <w:rPr>
          <w:rFonts w:ascii="Times New Roman" w:hAnsi="Times New Roman"/>
          <w:bCs/>
          <w:sz w:val="28"/>
          <w:szCs w:val="28"/>
        </w:rPr>
        <w:t>8.7</w:t>
      </w:r>
      <w:r>
        <w:rPr>
          <w:rFonts w:ascii="Times New Roman" w:hAnsi="Times New Roman"/>
          <w:b/>
          <w:bCs/>
          <w:sz w:val="28"/>
          <w:szCs w:val="28"/>
        </w:rPr>
        <w:t xml:space="preserve"> </w:t>
      </w:r>
      <w:r>
        <w:rPr>
          <w:rFonts w:ascii="Times New Roman" w:hAnsi="Times New Roman"/>
          <w:sz w:val="28"/>
          <w:szCs w:val="28"/>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Міський голова                                                                         Ігор САПОЖКО</w:t>
      </w:r>
      <w:permEnd w:id="0"/>
      <w:bookmarkStart w:id="2" w:name="_GoBack"/>
      <w:bookmarkEnd w:id="2"/>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4E9B"/>
    <w:multiLevelType w:val="multilevel"/>
    <w:tmpl w:val="00000000"/>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nsid w:val="2CC25816"/>
    <w:multiLevelType w:val="hybridMultilevel"/>
    <w:tmpl w:val="00000000"/>
    <w:lvl w:ilvl="0">
      <w:start w:val="4"/>
      <w:numFmt w:val="bullet"/>
      <w:lvlText w:val="-"/>
      <w:lvlJc w:val="left"/>
      <w:pPr>
        <w:ind w:left="1287" w:hanging="360"/>
      </w:pPr>
      <w:rPr>
        <w:rFonts w:ascii="Times New Roman" w:hAnsi="Times New Roman"/>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3C2056E8"/>
    <w:multiLevelType w:val="hybridMultilevel"/>
    <w:tmpl w:val="00000000"/>
    <w:lvl w:ilvl="0">
      <w:start w:val="1"/>
      <w:numFmt w:val="bullet"/>
      <w:lvlText w:val="-"/>
      <w:lvlJc w:val="left"/>
      <w:pPr>
        <w:ind w:left="1144" w:hanging="360"/>
      </w:pPr>
      <w:rPr>
        <w:rFonts w:ascii="Times New Roman" w:hAnsi="Times New Roman"/>
      </w:rPr>
    </w:lvl>
    <w:lvl w:ilvl="1">
      <w:start w:val="1"/>
      <w:numFmt w:val="bullet"/>
      <w:lvlText w:val="o"/>
      <w:lvlJc w:val="left"/>
      <w:pPr>
        <w:ind w:left="1864" w:hanging="360"/>
      </w:pPr>
      <w:rPr>
        <w:rFonts w:ascii="Courier New" w:hAnsi="Courier New"/>
      </w:rPr>
    </w:lvl>
    <w:lvl w:ilvl="2">
      <w:start w:val="1"/>
      <w:numFmt w:val="bullet"/>
      <w:lvlText w:val=""/>
      <w:lvlJc w:val="left"/>
      <w:pPr>
        <w:ind w:left="2584" w:hanging="360"/>
      </w:pPr>
      <w:rPr>
        <w:rFonts w:ascii="Wingdings" w:hAnsi="Wingdings"/>
      </w:rPr>
    </w:lvl>
    <w:lvl w:ilvl="3">
      <w:start w:val="1"/>
      <w:numFmt w:val="bullet"/>
      <w:lvlText w:val=""/>
      <w:lvlJc w:val="left"/>
      <w:pPr>
        <w:ind w:left="3304" w:hanging="360"/>
      </w:pPr>
      <w:rPr>
        <w:rFonts w:ascii="Symbol" w:hAnsi="Symbol"/>
      </w:rPr>
    </w:lvl>
    <w:lvl w:ilvl="4">
      <w:start w:val="1"/>
      <w:numFmt w:val="bullet"/>
      <w:lvlText w:val="o"/>
      <w:lvlJc w:val="left"/>
      <w:pPr>
        <w:ind w:left="4024" w:hanging="360"/>
      </w:pPr>
      <w:rPr>
        <w:rFonts w:ascii="Courier New" w:hAnsi="Courier New"/>
      </w:rPr>
    </w:lvl>
    <w:lvl w:ilvl="5">
      <w:start w:val="1"/>
      <w:numFmt w:val="bullet"/>
      <w:lvlText w:val=""/>
      <w:lvlJc w:val="left"/>
      <w:pPr>
        <w:ind w:left="4744" w:hanging="360"/>
      </w:pPr>
      <w:rPr>
        <w:rFonts w:ascii="Wingdings" w:hAnsi="Wingdings"/>
      </w:rPr>
    </w:lvl>
    <w:lvl w:ilvl="6">
      <w:start w:val="1"/>
      <w:numFmt w:val="bullet"/>
      <w:lvlText w:val=""/>
      <w:lvlJc w:val="left"/>
      <w:pPr>
        <w:ind w:left="5464" w:hanging="360"/>
      </w:pPr>
      <w:rPr>
        <w:rFonts w:ascii="Symbol" w:hAnsi="Symbol"/>
      </w:rPr>
    </w:lvl>
    <w:lvl w:ilvl="7">
      <w:start w:val="1"/>
      <w:numFmt w:val="bullet"/>
      <w:lvlText w:val="o"/>
      <w:lvlJc w:val="left"/>
      <w:pPr>
        <w:ind w:left="6184" w:hanging="360"/>
      </w:pPr>
      <w:rPr>
        <w:rFonts w:ascii="Courier New" w:hAnsi="Courier New"/>
      </w:rPr>
    </w:lvl>
    <w:lvl w:ilvl="8">
      <w:start w:val="1"/>
      <w:numFmt w:val="bullet"/>
      <w:lvlText w:val=""/>
      <w:lvlJc w:val="left"/>
      <w:pPr>
        <w:ind w:left="6904" w:hanging="360"/>
      </w:pPr>
      <w:rPr>
        <w:rFonts w:ascii="Wingdings" w:hAnsi="Wingdings"/>
      </w:rPr>
    </w:lvl>
  </w:abstractNum>
  <w:abstractNum w:abstractNumId="3">
    <w:nsid w:val="64015861"/>
    <w:multiLevelType w:val="hybridMultilevel"/>
    <w:tmpl w:val="00000000"/>
    <w:lvl w:ilvl="0">
      <w:start w:val="2"/>
      <w:numFmt w:val="bullet"/>
      <w:suff w:val="space"/>
      <w:lvlText w:val="-"/>
      <w:lvlJc w:val="left"/>
      <w:pPr>
        <w:ind w:left="940" w:hanging="360"/>
      </w:pPr>
      <w:rPr>
        <w:rFonts w:ascii="Times New Roman" w:hAnsi="Times New Roman"/>
      </w:rPr>
    </w:lvl>
    <w:lvl w:ilvl="1">
      <w:start w:val="1"/>
      <w:numFmt w:val="bullet"/>
      <w:lvlText w:val="o"/>
      <w:lvlJc w:val="left"/>
      <w:pPr>
        <w:ind w:left="1660" w:hanging="360"/>
      </w:pPr>
      <w:rPr>
        <w:rFonts w:ascii="Courier New" w:hAnsi="Courier New"/>
      </w:rPr>
    </w:lvl>
    <w:lvl w:ilvl="2">
      <w:start w:val="1"/>
      <w:numFmt w:val="bullet"/>
      <w:lvlText w:val=""/>
      <w:lvlJc w:val="left"/>
      <w:pPr>
        <w:ind w:left="2380" w:hanging="360"/>
      </w:pPr>
      <w:rPr>
        <w:rFonts w:ascii="Wingdings" w:hAnsi="Wingdings"/>
      </w:rPr>
    </w:lvl>
    <w:lvl w:ilvl="3">
      <w:start w:val="1"/>
      <w:numFmt w:val="bullet"/>
      <w:lvlText w:val=""/>
      <w:lvlJc w:val="left"/>
      <w:pPr>
        <w:ind w:left="3100" w:hanging="360"/>
      </w:pPr>
      <w:rPr>
        <w:rFonts w:ascii="Symbol" w:hAnsi="Symbol"/>
      </w:rPr>
    </w:lvl>
    <w:lvl w:ilvl="4">
      <w:start w:val="1"/>
      <w:numFmt w:val="bullet"/>
      <w:lvlText w:val="o"/>
      <w:lvlJc w:val="left"/>
      <w:pPr>
        <w:ind w:left="3820" w:hanging="360"/>
      </w:pPr>
      <w:rPr>
        <w:rFonts w:ascii="Courier New" w:hAnsi="Courier New"/>
      </w:rPr>
    </w:lvl>
    <w:lvl w:ilvl="5">
      <w:start w:val="1"/>
      <w:numFmt w:val="bullet"/>
      <w:lvlText w:val=""/>
      <w:lvlJc w:val="left"/>
      <w:pPr>
        <w:ind w:left="4540" w:hanging="360"/>
      </w:pPr>
      <w:rPr>
        <w:rFonts w:ascii="Wingdings" w:hAnsi="Wingdings"/>
      </w:rPr>
    </w:lvl>
    <w:lvl w:ilvl="6">
      <w:start w:val="1"/>
      <w:numFmt w:val="bullet"/>
      <w:lvlText w:val=""/>
      <w:lvlJc w:val="left"/>
      <w:pPr>
        <w:ind w:left="5260" w:hanging="360"/>
      </w:pPr>
      <w:rPr>
        <w:rFonts w:ascii="Symbol" w:hAnsi="Symbol"/>
      </w:rPr>
    </w:lvl>
    <w:lvl w:ilvl="7">
      <w:start w:val="1"/>
      <w:numFmt w:val="bullet"/>
      <w:lvlText w:val="o"/>
      <w:lvlJc w:val="left"/>
      <w:pPr>
        <w:ind w:left="5980" w:hanging="360"/>
      </w:pPr>
      <w:rPr>
        <w:rFonts w:ascii="Courier New" w:hAnsi="Courier New"/>
      </w:rPr>
    </w:lvl>
    <w:lvl w:ilvl="8">
      <w:start w:val="1"/>
      <w:numFmt w:val="bullet"/>
      <w:lvlText w:val=""/>
      <w:lvlJc w:val="left"/>
      <w:pPr>
        <w:ind w:left="6700" w:hanging="360"/>
      </w:pPr>
      <w:rPr>
        <w:rFonts w:ascii="Wingdings" w:hAnsi="Wingdings"/>
      </w:rPr>
    </w:lvl>
  </w:abstractNum>
  <w:num w:numId="1">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0"/>
    <w:qFormat/>
    <w:pPr>
      <w:keepNext/>
      <w:spacing w:beforeAutospacing="0" w:after="0" w:afterAutospacing="0" w:line="240" w:lineRule="auto"/>
      <w:ind w:left="-720"/>
      <w:outlineLvl w:val="0"/>
    </w:pPr>
    <w:rPr>
      <w:rFonts w:ascii="Times New Roman" w:hAnsi="Times New Roman"/>
      <w:b/>
      <w:bCs/>
      <w:sz w:val="24"/>
      <w:szCs w:val="24"/>
      <w:lang w:eastAsia="ru-RU"/>
    </w:rPr>
  </w:style>
  <w:style w:type="paragraph" w:styleId="Heading2">
    <w:name w:val="heading 2"/>
    <w:basedOn w:val="Normal"/>
    <w:next w:val="Normal"/>
    <w:link w:val="2"/>
    <w:qFormat/>
    <w:pPr>
      <w:keepNext/>
      <w:spacing w:beforeAutospacing="0" w:after="0" w:afterAutospacing="0" w:line="240" w:lineRule="auto"/>
      <w:ind w:left="-720"/>
      <w:outlineLvl w:val="1"/>
    </w:pPr>
    <w:rPr>
      <w:rFonts w:ascii="Times New Roman" w:hAnsi="Times New Roman"/>
      <w:b/>
      <w:bCs/>
      <w:color w:val="000000"/>
      <w:sz w:val="24"/>
      <w:szCs w:val="24"/>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Spacing">
    <w:name w:val="No Spacing"/>
    <w:qFormat/>
    <w:pPr>
      <w:spacing w:beforeAutospacing="0" w:after="0" w:afterAutospacing="0" w:line="240" w:lineRule="auto"/>
    </w:pPr>
    <w:rPr>
      <w:rFonts w:ascii="Calibri" w:hAnsi="Calibri"/>
    </w:rPr>
  </w:style>
  <w:style w:type="paragraph" w:styleId="NormalWeb">
    <w:name w:val="Normal (Web)"/>
    <w:basedOn w:val="Normal"/>
    <w:semiHidden/>
    <w:pPr>
      <w:spacing w:before="100" w:beforeAutospacing="1" w:after="100" w:afterAutospacing="1" w:line="240" w:lineRule="auto"/>
    </w:pPr>
    <w:rPr>
      <w:rFonts w:ascii="Times New Roman" w:hAnsi="Times New Roman"/>
      <w:sz w:val="24"/>
      <w:szCs w:val="24"/>
      <w:lang w:eastAsia="ru-RU"/>
    </w:rPr>
  </w:style>
  <w:style w:type="paragraph" w:customStyle="1" w:styleId="1">
    <w:name w:val="Основной текст1"/>
    <w:basedOn w:val="Normal"/>
    <w:link w:val="a1"/>
    <w:pPr>
      <w:widowControl w:val="0"/>
      <w:shd w:val="clear" w:color="auto" w:fill="FFFFFF"/>
      <w:spacing w:beforeAutospacing="0" w:after="0" w:afterAutospacing="0" w:line="240" w:lineRule="auto"/>
      <w:ind w:firstLine="400"/>
    </w:pPr>
    <w:rPr>
      <w:rFonts w:ascii="Times New Roman" w:hAnsi="Times New Roman"/>
      <w:sz w:val="28"/>
      <w:szCs w:val="28"/>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10">
    <w:name w:val="Заголовок 1 Знак"/>
    <w:basedOn w:val="DefaultParagraphFont"/>
    <w:link w:val="Heading1"/>
    <w:rPr>
      <w:rFonts w:ascii="Times New Roman" w:hAnsi="Times New Roman"/>
      <w:b/>
      <w:bCs/>
      <w:sz w:val="24"/>
      <w:szCs w:val="24"/>
      <w:lang w:eastAsia="ru-RU"/>
    </w:rPr>
  </w:style>
  <w:style w:type="character" w:customStyle="1" w:styleId="2">
    <w:name w:val="Заголовок 2 Знак"/>
    <w:basedOn w:val="DefaultParagraphFont"/>
    <w:link w:val="Heading2"/>
    <w:rPr>
      <w:rFonts w:ascii="Times New Roman" w:hAnsi="Times New Roman"/>
      <w:b/>
      <w:bCs/>
      <w:color w:val="000000"/>
      <w:sz w:val="24"/>
      <w:szCs w:val="24"/>
      <w:lang w:eastAsia="ru-RU"/>
    </w:rPr>
  </w:style>
  <w:style w:type="character" w:styleId="Emphasis">
    <w:name w:val="Emphasis"/>
    <w:basedOn w:val="DefaultParagraphFont"/>
    <w:qFormat/>
    <w:rPr>
      <w:i/>
      <w:iCs/>
    </w:rPr>
  </w:style>
  <w:style w:type="character" w:customStyle="1" w:styleId="a1">
    <w:name w:val="Основной текст_"/>
    <w:basedOn w:val="DefaultParagraphFont"/>
    <w:link w:val="1"/>
    <w:rPr>
      <w:rFonts w:ascii="Times New Roman" w:hAnsi="Times New Roman"/>
      <w:sz w:val="28"/>
      <w:szCs w:val="28"/>
      <w:shd w:val="clear" w:color="auto" w:fill="FFFFFF"/>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11</cp:revision>
  <dcterms:created xsi:type="dcterms:W3CDTF">2023-03-27T06:26:00Z</dcterms:created>
  <dcterms:modified xsi:type="dcterms:W3CDTF">2024-09-11T12:50:52Z</dcterms:modified>
</cp:coreProperties>
</file>