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5E79FF1" w14:textId="55A0544E" w:rsidR="00361CD8" w:rsidRPr="000D4721" w:rsidRDefault="0074644B" w:rsidP="00C23112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9617297"/>
      <w:r w:rsidR="00C23112" w:rsidRPr="00C231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відмову у наданні в постійне користування земельної ділянки</w:t>
      </w:r>
      <w:bookmarkEnd w:id="0"/>
      <w:r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33DA0AFE" w14:textId="77777777" w:rsidR="0074644B" w:rsidRPr="00B03912" w:rsidRDefault="0074644B" w:rsidP="00E524CB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04D98910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23112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55345830"/>
      <w:r w:rsidR="00C23112" w:rsidRPr="00C231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релігійної організації «Релігійна громада Свято-</w:t>
      </w:r>
      <w:proofErr w:type="spellStart"/>
      <w:r w:rsidR="00C23112" w:rsidRPr="00C231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Димитрівська</w:t>
      </w:r>
      <w:proofErr w:type="spellEnd"/>
      <w:r w:rsidR="00C23112" w:rsidRPr="00C23112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парафія Київської єпархії Української православної церкви (Православної церкви України) м. Бровари Київської області» </w:t>
      </w:r>
      <w:bookmarkEnd w:id="1"/>
      <w:r w:rsidR="004C5AB6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2311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112">
        <w:rPr>
          <w:rFonts w:ascii="Times New Roman" w:hAnsi="Times New Roman" w:cs="Times New Roman"/>
          <w:sz w:val="28"/>
          <w:szCs w:val="28"/>
          <w:lang w:val="uk-UA"/>
        </w:rPr>
        <w:t>надання земельної ділянки в постійне користування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3D95091F" w:rsidR="00687EB6" w:rsidRPr="00C23112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C23112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C23112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311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311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</w:t>
      </w:r>
      <w:r w:rsidR="00C23112" w:rsidRPr="00C23112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C23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5E9" w:rsidRPr="00C2311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B118B" w:rsidRPr="00C231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112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C231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2" w:name="_Hlk155345947"/>
      <w:r w:rsidR="00C23112" w:rsidRPr="00C23112">
        <w:rPr>
          <w:rFonts w:ascii="Times New Roman" w:hAnsi="Times New Roman" w:cs="Times New Roman"/>
          <w:iCs/>
          <w:sz w:val="28"/>
          <w:szCs w:val="28"/>
          <w:lang w:val="uk-UA"/>
        </w:rPr>
        <w:t>Закон</w:t>
      </w:r>
      <w:r w:rsidR="002A57C1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C23112" w:rsidRPr="00C2311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України «Про адміністративну процедуру»</w:t>
      </w:r>
      <w:bookmarkEnd w:id="2"/>
      <w:r w:rsidR="00C23112" w:rsidRPr="00C23112">
        <w:rPr>
          <w:rFonts w:ascii="Times New Roman" w:hAnsi="Times New Roman" w:cs="Times New Roman"/>
          <w:iCs/>
          <w:sz w:val="28"/>
          <w:szCs w:val="28"/>
          <w:lang w:val="uk-UA"/>
        </w:rPr>
        <w:t>, пункт</w:t>
      </w:r>
      <w:r w:rsidR="002A57C1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C23112" w:rsidRPr="00C2311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34 частини 1 статті 26 Закону України «Про місцеве самоврядування в Україні»</w:t>
      </w:r>
      <w:r w:rsidRPr="00C231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2A57C1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2A57C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2A57C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CD47F1A" w14:textId="08EF8348" w:rsidR="005B1C08" w:rsidRPr="00F76CA4" w:rsidRDefault="00C23112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2A57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зв’язку з тим, що відповідно до 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Pr="002A57C1">
        <w:rPr>
          <w:rFonts w:ascii="Times New Roman" w:eastAsia="Times New Roman" w:hAnsi="Times New Roman" w:cs="Times New Roman"/>
          <w:sz w:val="28"/>
          <w:szCs w:val="28"/>
          <w:lang w:val="uk-UA"/>
        </w:rPr>
        <w:t>Іпотек</w:t>
      </w:r>
      <w:proofErr w:type="spellEnd"/>
      <w:r w:rsidRPr="002A57C1">
        <w:rPr>
          <w:rFonts w:ascii="Times New Roman" w:eastAsia="Times New Roman" w:hAnsi="Times New Roman" w:cs="Times New Roman"/>
          <w:sz w:val="28"/>
          <w:szCs w:val="28"/>
          <w:lang w:val="uk-UA"/>
        </w:rPr>
        <w:t>, Єдиного реєстру заборон відчуження об’єктів нерухомого майна щодо об’єкта нерухомого майна на земельній ділянці розташоване майно, що перебуває у власності іншої юридичної особи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проектом рішення передбачено відмовити релігійній організації у наданні в постійне користування земельної ділянки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2A57C1"/>
    <w:rsid w:val="0032597E"/>
    <w:rsid w:val="00330259"/>
    <w:rsid w:val="003613A9"/>
    <w:rsid w:val="00361CD8"/>
    <w:rsid w:val="003B118B"/>
    <w:rsid w:val="003E3CDF"/>
    <w:rsid w:val="003E4FC9"/>
    <w:rsid w:val="0042444E"/>
    <w:rsid w:val="00452BA2"/>
    <w:rsid w:val="00456AE8"/>
    <w:rsid w:val="00475713"/>
    <w:rsid w:val="004C3B49"/>
    <w:rsid w:val="004C574E"/>
    <w:rsid w:val="004C5AB6"/>
    <w:rsid w:val="004D7085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03ACD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23112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524CB"/>
    <w:rsid w:val="00E646A2"/>
    <w:rsid w:val="00EB181C"/>
    <w:rsid w:val="00F06D36"/>
    <w:rsid w:val="00F239BD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2024-08-21T12:04:00Z</cp:lastPrinted>
  <dcterms:created xsi:type="dcterms:W3CDTF">2024-08-21T12:04:00Z</dcterms:created>
  <dcterms:modified xsi:type="dcterms:W3CDTF">2024-08-21T12:53:00Z</dcterms:modified>
</cp:coreProperties>
</file>