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D" w:rsidRPr="00CF02D7" w:rsidRDefault="00DD34DD" w:rsidP="00DD34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DD34DD" w:rsidRDefault="00DD34DD" w:rsidP="00DD34D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проекту </w:t>
      </w:r>
      <w:proofErr w:type="spellStart"/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DD34DD" w:rsidRDefault="00DD34DD" w:rsidP="00DD3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</w:p>
    <w:p w:rsidR="00DD34DD" w:rsidRDefault="00DD34DD" w:rsidP="00DD34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</w:p>
    <w:p w:rsidR="00DD34DD" w:rsidRDefault="00DD34DD" w:rsidP="00DD34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DD34DD" w:rsidRDefault="00DD34DD" w:rsidP="00DD34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DD34DD" w:rsidRPr="00DF7AB0" w:rsidRDefault="00DD34DD" w:rsidP="00DD34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4DD" w:rsidRDefault="00DD34DD" w:rsidP="00DD34DD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D34DD" w:rsidRPr="0040188A" w:rsidRDefault="00DD34DD" w:rsidP="00DD34D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науково -технічного звіту про проведення технічного обстеження житлового будинку №41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вул.Бендери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Степана та рекомендацій до звіту КП «ЖЕК-1» планує виконати роботи з укріплення фундаменту будинка та штукатурення цементним розчином, фарбуванням зовнішніх </w:t>
      </w:r>
      <w:r w:rsidR="001069F7">
        <w:rPr>
          <w:rFonts w:ascii="Times New Roman" w:hAnsi="Times New Roman" w:cs="Times New Roman"/>
          <w:sz w:val="28"/>
          <w:szCs w:val="28"/>
          <w:lang w:val="uk-UA"/>
        </w:rPr>
        <w:t>стін будинку на загальну суму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сталого проходження опалювального сезону та уникнення аварійних ситуацій плануємо здійснити капітальний ремонт шатрового даху житлового будинку №292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вул.Київська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«3000,00»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4DD" w:rsidRPr="00B52D9C" w:rsidRDefault="00DD34DD" w:rsidP="00DD34DD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DD34DD" w:rsidRDefault="00DD34DD" w:rsidP="00DD34D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експлуатаційних характеристик будинків, шляхом укріплення фундаменту житлового будинку №41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вул.Бендери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Степана та капітального ремонту шатрового даху житлового будинку №292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вул.Київська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34DD" w:rsidRPr="00B52D9C" w:rsidRDefault="00DD34DD" w:rsidP="00DD34DD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DD34DD" w:rsidRDefault="00DD34DD" w:rsidP="00DD34D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DD34DD" w:rsidRDefault="00DD34DD" w:rsidP="00DD34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DD34DD" w:rsidRDefault="00DD34DD" w:rsidP="00DD34D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У 2024 році обсяг фінансування Програми становить «39</w:t>
      </w:r>
      <w:r w:rsidR="001069F7">
        <w:rPr>
          <w:rFonts w:ascii="Times New Roman" w:hAnsi="Times New Roman"/>
          <w:sz w:val="28"/>
          <w:szCs w:val="28"/>
          <w:lang w:val="uk-UA"/>
        </w:rPr>
        <w:t>5 535</w:t>
      </w:r>
      <w:r>
        <w:rPr>
          <w:rFonts w:ascii="Times New Roman" w:hAnsi="Times New Roman"/>
          <w:sz w:val="28"/>
          <w:szCs w:val="28"/>
          <w:lang w:val="uk-UA"/>
        </w:rPr>
        <w:t xml:space="preserve">,789»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DD34DD" w:rsidRDefault="00DD34DD" w:rsidP="00DD34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DD34DD" w:rsidRPr="007B5BFF" w:rsidRDefault="00DD34DD" w:rsidP="00DD34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>капітальний ремонт з укріпленням фундаменту</w:t>
      </w:r>
      <w:r w:rsidRPr="007B5B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будинку №41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вул.Бендери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D34DD" w:rsidRDefault="00DD34DD" w:rsidP="00DD34D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шатрового даху житлового будинку №292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вул.Київська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bookmarkEnd w:id="6"/>
    <w:p w:rsidR="00DD34DD" w:rsidRPr="006B6292" w:rsidRDefault="00DD34DD" w:rsidP="00DD34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DD34DD" w:rsidRDefault="00DD34DD" w:rsidP="00DD34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="001069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7"/>
    <w:p w:rsidR="00DD34DD" w:rsidRPr="00CF72AF" w:rsidRDefault="00DD34DD" w:rsidP="00DD34D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DD34DD" w:rsidRPr="006B6292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139880230"/>
      <w:bookmarkStart w:id="9" w:name="_Hlk141947714"/>
    </w:p>
    <w:tbl>
      <w:tblPr>
        <w:tblpPr w:leftFromText="180" w:rightFromText="180" w:vertAnchor="text" w:tblpX="-7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1276"/>
        <w:gridCol w:w="1276"/>
        <w:gridCol w:w="2976"/>
      </w:tblGrid>
      <w:tr w:rsidR="00DD34DD" w:rsidRPr="003964C2" w:rsidTr="00FF2CF1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DD34DD" w:rsidRPr="00357B3B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9225741"/>
            <w:bookmarkStart w:id="11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D34DD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DD34DD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DD34DD" w:rsidRPr="00357B3B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D34DD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DD34DD" w:rsidRPr="003964C2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DD34DD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DD34DD" w:rsidRPr="003964C2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DD34DD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DD34DD" w:rsidRPr="00C60F03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976" w:type="dxa"/>
          </w:tcPr>
          <w:p w:rsidR="00DD34DD" w:rsidRPr="003964C2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DD34DD" w:rsidRPr="00D84E2B" w:rsidTr="00FF2CF1">
        <w:trPr>
          <w:trHeight w:val="242"/>
        </w:trPr>
        <w:tc>
          <w:tcPr>
            <w:tcW w:w="817" w:type="dxa"/>
            <w:shd w:val="clear" w:color="auto" w:fill="auto"/>
            <w:noWrap/>
            <w:vAlign w:val="bottom"/>
          </w:tcPr>
          <w:p w:rsidR="00DD34DD" w:rsidRPr="00357B3B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D34DD" w:rsidRPr="00357B3B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  <w:proofErr w:type="spellEnd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видатки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392 035,789</w:t>
            </w:r>
          </w:p>
        </w:tc>
        <w:tc>
          <w:tcPr>
            <w:tcW w:w="1276" w:type="dxa"/>
          </w:tcPr>
          <w:p w:rsidR="00DD34DD" w:rsidRPr="0040188A" w:rsidRDefault="001069F7" w:rsidP="00106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3 500</w:t>
            </w:r>
            <w:r w:rsidR="00DD34DD" w:rsidRPr="00401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,00</w:t>
            </w:r>
          </w:p>
        </w:tc>
        <w:tc>
          <w:tcPr>
            <w:tcW w:w="1276" w:type="dxa"/>
            <w:vAlign w:val="bottom"/>
          </w:tcPr>
          <w:p w:rsidR="00DD34DD" w:rsidRPr="0040188A" w:rsidRDefault="00DD34DD" w:rsidP="00106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39</w:t>
            </w:r>
            <w:r w:rsidR="001069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5 53</w:t>
            </w:r>
            <w:r w:rsidRPr="004018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5,789</w:t>
            </w:r>
          </w:p>
        </w:tc>
        <w:tc>
          <w:tcPr>
            <w:tcW w:w="2976" w:type="dxa"/>
          </w:tcPr>
          <w:p w:rsidR="00DD34DD" w:rsidRPr="008424AD" w:rsidRDefault="00DD34DD" w:rsidP="00FF2CF1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34DD" w:rsidRPr="003964C2" w:rsidTr="00FF2CF1">
        <w:trPr>
          <w:trHeight w:val="388"/>
        </w:trPr>
        <w:tc>
          <w:tcPr>
            <w:tcW w:w="817" w:type="dxa"/>
            <w:shd w:val="clear" w:color="auto" w:fill="auto"/>
            <w:noWrap/>
            <w:vAlign w:val="bottom"/>
          </w:tcPr>
          <w:p w:rsidR="00DD34DD" w:rsidRPr="00A51089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D34DD" w:rsidRPr="006E3BB5" w:rsidRDefault="00DD34DD" w:rsidP="00FF2CF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Житлове господарство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22278,00</w:t>
            </w:r>
          </w:p>
        </w:tc>
        <w:tc>
          <w:tcPr>
            <w:tcW w:w="1276" w:type="dxa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  <w:p w:rsidR="00DD34DD" w:rsidRPr="0040188A" w:rsidRDefault="001069F7" w:rsidP="00FF2C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  <w:r w:rsidR="00DD34DD" w:rsidRPr="00401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500,00</w:t>
            </w:r>
          </w:p>
        </w:tc>
        <w:tc>
          <w:tcPr>
            <w:tcW w:w="1276" w:type="dxa"/>
            <w:vAlign w:val="bottom"/>
          </w:tcPr>
          <w:p w:rsidR="00DD34DD" w:rsidRPr="0040188A" w:rsidRDefault="00DD34DD" w:rsidP="00106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  <w:r w:rsidR="001069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  <w:r w:rsidRPr="0040188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778,00</w:t>
            </w:r>
          </w:p>
        </w:tc>
        <w:tc>
          <w:tcPr>
            <w:tcW w:w="2976" w:type="dxa"/>
          </w:tcPr>
          <w:p w:rsidR="00DD34DD" w:rsidRPr="003964C2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D34DD" w:rsidRPr="00BC2CB3" w:rsidTr="00FF2CF1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DD34DD" w:rsidRPr="00A51089" w:rsidRDefault="00DD34DD" w:rsidP="00FF2C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1.1.2.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D34DD" w:rsidRPr="006E3BB5" w:rsidRDefault="00DD34DD" w:rsidP="00FF2C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шатрових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дахів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12 500,00</w:t>
            </w:r>
          </w:p>
        </w:tc>
        <w:tc>
          <w:tcPr>
            <w:tcW w:w="1276" w:type="dxa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3000,00</w:t>
            </w:r>
          </w:p>
        </w:tc>
        <w:tc>
          <w:tcPr>
            <w:tcW w:w="1276" w:type="dxa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15 500,00</w:t>
            </w:r>
          </w:p>
        </w:tc>
        <w:tc>
          <w:tcPr>
            <w:tcW w:w="2976" w:type="dxa"/>
          </w:tcPr>
          <w:p w:rsidR="00DD34DD" w:rsidRPr="007B5BFF" w:rsidRDefault="00DD34DD" w:rsidP="00FF2CF1">
            <w:pPr>
              <w:pStyle w:val="a5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капітальн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ий</w:t>
            </w:r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ремонт шатрового даху житлового будинку №292 по </w:t>
            </w:r>
            <w:proofErr w:type="spellStart"/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вул.Київська</w:t>
            </w:r>
            <w:proofErr w:type="spellEnd"/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  <w:p w:rsidR="00DD34DD" w:rsidRPr="007B5BFF" w:rsidRDefault="00DD34DD" w:rsidP="00FF2CF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DD34DD" w:rsidRPr="00BC2CB3" w:rsidTr="00FF2CF1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DD34DD" w:rsidRDefault="00DD34DD" w:rsidP="00FF2CF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1.1.6.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DD34DD" w:rsidRPr="008703F2" w:rsidRDefault="00DD34DD" w:rsidP="00FF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конструктивних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елементів</w:t>
            </w:r>
            <w:proofErr w:type="spellEnd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будинків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321,00</w:t>
            </w:r>
          </w:p>
        </w:tc>
        <w:tc>
          <w:tcPr>
            <w:tcW w:w="1276" w:type="dxa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500,00</w:t>
            </w:r>
          </w:p>
        </w:tc>
        <w:tc>
          <w:tcPr>
            <w:tcW w:w="1276" w:type="dxa"/>
          </w:tcPr>
          <w:p w:rsidR="00DD34DD" w:rsidRPr="0040188A" w:rsidRDefault="00DD34DD" w:rsidP="00FF2C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12" w:name="_GoBack"/>
            <w:bookmarkEnd w:id="12"/>
            <w:r w:rsidRPr="0040188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821,00</w:t>
            </w:r>
          </w:p>
        </w:tc>
        <w:tc>
          <w:tcPr>
            <w:tcW w:w="2976" w:type="dxa"/>
          </w:tcPr>
          <w:p w:rsidR="00DD34DD" w:rsidRPr="007B5BFF" w:rsidRDefault="00DD34DD" w:rsidP="00FF2CF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 w:eastAsia="uk-UA"/>
              </w:rPr>
            </w:pPr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укріплення фундаменту житлового будинку №41 по </w:t>
            </w:r>
            <w:proofErr w:type="spellStart"/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вул.Бендери</w:t>
            </w:r>
            <w:proofErr w:type="spellEnd"/>
            <w:r w:rsidRPr="007B5BFF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Степана</w:t>
            </w:r>
          </w:p>
        </w:tc>
      </w:tr>
      <w:bookmarkEnd w:id="10"/>
    </w:tbl>
    <w:p w:rsidR="00DD34DD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D34DD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D34DD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D34DD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D34DD" w:rsidRPr="00E56120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3" w:name="_Hlk158369183"/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DD34DD" w:rsidRPr="00E56120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DD34DD" w:rsidRPr="0064241B" w:rsidRDefault="00DD34DD" w:rsidP="00DD3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Світлана РЕШЕТОВА</w:t>
      </w:r>
    </w:p>
    <w:bookmarkEnd w:id="13"/>
    <w:p w:rsidR="009B7D79" w:rsidRPr="00DD34DD" w:rsidRDefault="009B7D79" w:rsidP="00DD34DD"/>
    <w:sectPr w:rsidR="009B7D79" w:rsidRPr="00DD34D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C5F57"/>
    <w:multiLevelType w:val="hybridMultilevel"/>
    <w:tmpl w:val="CECCE2F6"/>
    <w:lvl w:ilvl="0" w:tplc="97AAE258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9464177"/>
    <w:multiLevelType w:val="hybridMultilevel"/>
    <w:tmpl w:val="A25E7034"/>
    <w:lvl w:ilvl="0" w:tplc="F32EC98A">
      <w:start w:val="4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069F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34DD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DD3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2024-08-14T11:12:00Z</dcterms:modified>
</cp:coreProperties>
</file>