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1696" w14:textId="77777777" w:rsidR="002E7FEA" w:rsidRDefault="0000000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B316B82" w14:textId="77777777" w:rsidR="002E7FEA" w:rsidRDefault="002E7FEA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1F62D19" w14:textId="77777777" w:rsidR="002E7FEA" w:rsidRDefault="00000000">
      <w:pPr>
        <w:pStyle w:val="a4"/>
        <w:ind w:left="-284" w:firstLine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змін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</w:p>
    <w:p w14:paraId="1C2CEDE1" w14:textId="77777777" w:rsidR="002E7FEA" w:rsidRDefault="00000000">
      <w:pPr>
        <w:pStyle w:val="2"/>
        <w:ind w:left="-284" w:firstLine="142"/>
        <w:rPr>
          <w:szCs w:val="28"/>
        </w:rPr>
      </w:pPr>
      <w:r>
        <w:rPr>
          <w:szCs w:val="28"/>
        </w:rPr>
        <w:t xml:space="preserve">соціально-економічного та культурного розвитку Броварської міської територіальної громади </w:t>
      </w:r>
      <w:r>
        <w:rPr>
          <w:szCs w:val="22"/>
        </w:rPr>
        <w:t>на 2024 рік</w:t>
      </w:r>
      <w:r>
        <w:rPr>
          <w:szCs w:val="28"/>
        </w:rPr>
        <w:t>»</w:t>
      </w:r>
    </w:p>
    <w:p w14:paraId="02AE8365" w14:textId="77777777" w:rsidR="002E7FEA" w:rsidRDefault="002E7FE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F36512" w14:textId="77777777" w:rsidR="002E7FEA" w:rsidRDefault="000000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Пояснювальна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>
        <w:rPr>
          <w:rFonts w:ascii="Times New Roman" w:hAnsi="Times New Roman"/>
          <w:sz w:val="28"/>
          <w:szCs w:val="28"/>
        </w:rPr>
        <w:t>підготовлена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 w14:paraId="43796A43" w14:textId="77777777" w:rsidR="002E7FEA" w:rsidRDefault="002E7FEA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23EE6D86" w14:textId="77777777" w:rsidR="002E7FEA" w:rsidRDefault="0000000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zh-CN"/>
        </w:rPr>
        <w:t>1.Обґрунтування необхідності прийняття рішення: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zh-CN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 w:eastAsia="uk-UA"/>
        </w:rPr>
        <w:t>Програми сприяння розвитку підприємництва у Броварській міській територіальній громаді  на 2024-2028 роки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передбачені кошти на її фінансування бюджетом міста. Тому є необхідність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2024 рік, а саме в додаток 2.</w:t>
      </w:r>
    </w:p>
    <w:p w14:paraId="0CEC77B6" w14:textId="77777777" w:rsidR="002E7FEA" w:rsidRDefault="002E7FEA">
      <w:pPr>
        <w:pStyle w:val="a4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B94646" w14:textId="77777777" w:rsidR="002E7FEA" w:rsidRDefault="0000000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  <w:r>
        <w:rPr>
          <w:rFonts w:ascii="Times New Roman" w:hAnsi="Times New Roman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забезпечення фінансування місцевих програм  у поточному році необхідно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Програми соціально-економічного та культурного розвитку Броварської міської територіальної громади на 2024 рік.</w:t>
      </w:r>
    </w:p>
    <w:p w14:paraId="6CC9DE5E" w14:textId="77777777" w:rsidR="002E7FEA" w:rsidRDefault="002E7FE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64AE6B" w14:textId="77777777" w:rsidR="002E7FEA" w:rsidRDefault="000000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аспекти: </w:t>
      </w:r>
      <w:r>
        <w:rPr>
          <w:rFonts w:ascii="Times New Roman" w:hAnsi="Times New Roman"/>
          <w:sz w:val="28"/>
          <w:szCs w:val="28"/>
          <w:lang w:val="uk-UA"/>
        </w:rPr>
        <w:t xml:space="preserve">пункт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22 частини 1 статті 26 Закону України „Про місцеве самоврядування в Україні”.</w:t>
      </w:r>
    </w:p>
    <w:p w14:paraId="0C83F280" w14:textId="77777777" w:rsidR="002E7FEA" w:rsidRDefault="002E7FE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FAD1BF" w14:textId="77777777" w:rsidR="002E7FEA" w:rsidRDefault="000000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обґрунтування:</w:t>
      </w:r>
    </w:p>
    <w:p w14:paraId="7D4D5D88" w14:textId="77777777" w:rsidR="002E7FEA" w:rsidRDefault="00000000">
      <w:pPr>
        <w:pStyle w:val="a3"/>
        <w:spacing w:before="0" w:beforeAutospacing="0" w:after="0" w:afterAutospacing="0"/>
        <w:ind w:firstLine="567"/>
        <w:jc w:val="both"/>
        <w:rPr>
          <w:rStyle w:val="a7"/>
          <w:b w:val="0"/>
          <w:color w:val="303030"/>
          <w:sz w:val="28"/>
          <w:szCs w:val="28"/>
        </w:rPr>
      </w:pPr>
      <w:r>
        <w:rPr>
          <w:sz w:val="28"/>
          <w:szCs w:val="28"/>
          <w:lang w:eastAsia="zh-CN"/>
        </w:rPr>
        <w:t xml:space="preserve">Виконання </w:t>
      </w:r>
      <w:r>
        <w:rPr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на 2024 рік буде здійснюватися виконавчими органами Броварської міської ради Броварського району Київської області відповідно до затвердженого Бюджету </w:t>
      </w:r>
      <w:r>
        <w:rPr>
          <w:rStyle w:val="a7"/>
          <w:b w:val="0"/>
          <w:color w:val="303030"/>
          <w:sz w:val="28"/>
          <w:szCs w:val="28"/>
        </w:rPr>
        <w:t>Броварської міської територіальної громади на 2024 рік.</w:t>
      </w:r>
    </w:p>
    <w:p w14:paraId="1C0A1FBF" w14:textId="77777777" w:rsidR="002E7FEA" w:rsidRDefault="002E7FEA">
      <w:pPr>
        <w:pStyle w:val="a3"/>
        <w:spacing w:before="0" w:beforeAutospacing="0" w:after="0" w:afterAutospacing="0"/>
        <w:ind w:firstLine="567"/>
        <w:jc w:val="both"/>
        <w:rPr>
          <w:rFonts w:ascii="Arial" w:hAnsi="Arial"/>
          <w:b/>
          <w:color w:val="303030"/>
          <w:sz w:val="28"/>
          <w:szCs w:val="28"/>
        </w:rPr>
      </w:pPr>
    </w:p>
    <w:p w14:paraId="4B70A73F" w14:textId="77777777" w:rsidR="002E7FEA" w:rsidRDefault="00000000">
      <w:pPr>
        <w:suppressAutoHyphens/>
        <w:spacing w:after="0" w:line="240" w:lineRule="auto"/>
        <w:ind w:right="-426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Прогноз результатів: </w:t>
      </w:r>
    </w:p>
    <w:p w14:paraId="3BCCF2F4" w14:textId="77777777" w:rsidR="002E7FEA" w:rsidRDefault="00000000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Своєчасне фінансування вищевказаних 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 в повному обсязі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40915707" w14:textId="77777777" w:rsidR="002E7FEA" w:rsidRDefault="00000000">
      <w:pPr>
        <w:tabs>
          <w:tab w:val="num" w:pos="1026"/>
          <w:tab w:val="num" w:pos="1353"/>
        </w:tabs>
        <w:spacing w:after="0" w:line="250" w:lineRule="auto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22C47FF6" w14:textId="77777777" w:rsidR="002E7FEA" w:rsidRDefault="00000000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рішення: </w:t>
      </w:r>
    </w:p>
    <w:p w14:paraId="676DC0BA" w14:textId="77777777" w:rsidR="002E7FEA" w:rsidRDefault="00000000">
      <w:pPr>
        <w:pStyle w:val="a4"/>
        <w:ind w:right="-143" w:firstLine="567"/>
        <w:jc w:val="both"/>
        <w:rPr>
          <w:rFonts w:ascii="Times New Roman" w:hAnsi="Times New Roman"/>
          <w:b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-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назва суб’єкта подання: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управління економіки та інвестицій виконавчого комітету Броварської міської ради Броварського району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>Київської області;</w:t>
      </w:r>
    </w:p>
    <w:p w14:paraId="7887A0E5" w14:textId="77777777" w:rsidR="002E7FEA" w:rsidRDefault="00000000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- прізвище, посада, контактні дані доповідача проекту рішення на пленарному засіданні: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управління економіки та інвестицій виконавчого комітету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Тетяна ПОЛІЩУК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04594-6-09-4</w:t>
      </w:r>
      <w:r>
        <w:rPr>
          <w:rFonts w:ascii="Times New Roman" w:hAnsi="Times New Roman"/>
          <w:sz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);</w:t>
      </w:r>
    </w:p>
    <w:p w14:paraId="06345EAA" w14:textId="77777777" w:rsidR="002E7FEA" w:rsidRDefault="00000000">
      <w:pPr>
        <w:pStyle w:val="a4"/>
        <w:ind w:right="-143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- особа, відповідальна за підготовку проекту рішення:  </w:t>
      </w:r>
      <w:r>
        <w:rPr>
          <w:rFonts w:ascii="Times New Roman" w:hAnsi="Times New Roman"/>
          <w:sz w:val="28"/>
          <w:szCs w:val="28"/>
          <w:lang w:val="uk-UA"/>
        </w:rPr>
        <w:t xml:space="preserve">головний спеціаліст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 управління економіки та інвестицій виконавчого комітету Броварської міської ради Броварського району Київської області Олена КОВАЛЕНКО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04594-6-09-45).</w:t>
      </w:r>
    </w:p>
    <w:p w14:paraId="222061C6" w14:textId="77777777" w:rsidR="002E7FEA" w:rsidRDefault="002E7FEA">
      <w:pPr>
        <w:pStyle w:val="a4"/>
        <w:ind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F539D61" w14:textId="77777777" w:rsidR="002E7FEA" w:rsidRDefault="00000000">
      <w:pPr>
        <w:pStyle w:val="a4"/>
        <w:ind w:right="-143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7. Порівняльна таблиця </w:t>
      </w:r>
      <w:r>
        <w:rPr>
          <w:rFonts w:ascii="Times New Roman" w:hAnsi="Times New Roman"/>
          <w:bCs/>
          <w:sz w:val="28"/>
          <w:szCs w:val="28"/>
          <w:lang w:val="uk-UA"/>
        </w:rPr>
        <w:t>до проекту рішення.</w:t>
      </w:r>
    </w:p>
    <w:p w14:paraId="55C971C5" w14:textId="77777777" w:rsidR="002E7FEA" w:rsidRDefault="002E7FEA">
      <w:pPr>
        <w:pStyle w:val="a4"/>
        <w:ind w:right="-143" w:firstLine="567"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1276"/>
        <w:gridCol w:w="567"/>
        <w:gridCol w:w="3402"/>
        <w:gridCol w:w="1417"/>
      </w:tblGrid>
      <w:tr w:rsidR="002E7FEA" w14:paraId="5EAFC766" w14:textId="77777777">
        <w:trPr>
          <w:trHeight w:val="391"/>
        </w:trPr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831C" w14:textId="77777777" w:rsidR="002E7FEA" w:rsidRDefault="00000000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Передбачено Програмою соціально-економічного та культурного розвитку Броварської міської територіальної громади від 25.01.2024 № 1488-64-08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C45" w14:textId="77777777" w:rsidR="002E7FEA" w:rsidRDefault="00000000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Пропонується зміна</w:t>
            </w:r>
          </w:p>
        </w:tc>
      </w:tr>
      <w:tr w:rsidR="002E7FEA" w14:paraId="58F60781" w14:textId="77777777">
        <w:trPr>
          <w:trHeight w:val="1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8713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069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E1F0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D35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5A4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Назва місцевої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E92" w14:textId="77777777" w:rsidR="002E7FEA" w:rsidRDefault="000000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 w:eastAsia="uk-UA"/>
              </w:rPr>
              <w:t>Дата та номер документа, яким затверджено місцеву програму</w:t>
            </w:r>
          </w:p>
        </w:tc>
      </w:tr>
    </w:tbl>
    <w:tbl>
      <w:tblPr>
        <w:tblStyle w:val="a8"/>
        <w:tblW w:w="102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4"/>
        <w:gridCol w:w="11"/>
        <w:gridCol w:w="2958"/>
        <w:gridCol w:w="18"/>
        <w:gridCol w:w="1278"/>
        <w:gridCol w:w="567"/>
        <w:gridCol w:w="3402"/>
        <w:gridCol w:w="1417"/>
        <w:gridCol w:w="13"/>
      </w:tblGrid>
      <w:tr w:rsidR="002E7FEA" w14:paraId="75B79562" w14:textId="77777777">
        <w:tc>
          <w:tcPr>
            <w:tcW w:w="10248" w:type="dxa"/>
            <w:gridSpan w:val="9"/>
          </w:tcPr>
          <w:p w14:paraId="718AD26D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Виконавчий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комітет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ради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області</w:t>
            </w:r>
            <w:proofErr w:type="spellEnd"/>
          </w:p>
        </w:tc>
      </w:tr>
      <w:tr w:rsidR="002E7FEA" w14:paraId="5EF57A6E" w14:textId="77777777">
        <w:tc>
          <w:tcPr>
            <w:tcW w:w="584" w:type="dxa"/>
          </w:tcPr>
          <w:p w14:paraId="1EEABF20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969" w:type="dxa"/>
            <w:gridSpan w:val="2"/>
          </w:tcPr>
          <w:p w14:paraId="2EB2DF1B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  2022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296" w:type="dxa"/>
            <w:gridSpan w:val="2"/>
          </w:tcPr>
          <w:p w14:paraId="1F25D64B" w14:textId="77777777" w:rsidR="002E7FEA" w:rsidRDefault="00000000">
            <w:pPr>
              <w:ind w:right="-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099AB9AA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</w:tcPr>
          <w:p w14:paraId="0FD16E00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402" w:type="dxa"/>
          </w:tcPr>
          <w:p w14:paraId="7075B529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Цільова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захисту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населення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від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надзвичайних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ситуацій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техногенного та природного характеру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  2022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-2026 роки</w:t>
            </w:r>
          </w:p>
        </w:tc>
        <w:tc>
          <w:tcPr>
            <w:tcW w:w="1430" w:type="dxa"/>
            <w:gridSpan w:val="2"/>
          </w:tcPr>
          <w:p w14:paraId="6EB3EAD1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23.12.2021                         № 622-19-08</w:t>
            </w:r>
          </w:p>
          <w:p w14:paraId="074436C3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</w:tr>
      <w:tr w:rsidR="002E7FEA" w14:paraId="624E1118" w14:textId="77777777">
        <w:tc>
          <w:tcPr>
            <w:tcW w:w="584" w:type="dxa"/>
          </w:tcPr>
          <w:p w14:paraId="0A66B285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969" w:type="dxa"/>
            <w:gridSpan w:val="2"/>
          </w:tcPr>
          <w:p w14:paraId="20DB42A7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296" w:type="dxa"/>
            <w:gridSpan w:val="2"/>
          </w:tcPr>
          <w:p w14:paraId="1698CC33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27.05.2021                     № 207-07-08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67" w:type="dxa"/>
          </w:tcPr>
          <w:p w14:paraId="7EDE7799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402" w:type="dxa"/>
          </w:tcPr>
          <w:p w14:paraId="379F15D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"Проект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інформатизації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Електронний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контакт центр"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ради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2021-2024 роки</w:t>
            </w:r>
          </w:p>
        </w:tc>
        <w:tc>
          <w:tcPr>
            <w:tcW w:w="1430" w:type="dxa"/>
            <w:gridSpan w:val="2"/>
          </w:tcPr>
          <w:p w14:paraId="6D15398F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27.05.2021                     № 207-07-08     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змінами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</w:t>
            </w:r>
          </w:p>
        </w:tc>
      </w:tr>
      <w:tr w:rsidR="002E7FEA" w14:paraId="6D6CC785" w14:textId="77777777">
        <w:tc>
          <w:tcPr>
            <w:tcW w:w="584" w:type="dxa"/>
          </w:tcPr>
          <w:p w14:paraId="67F2A028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969" w:type="dxa"/>
            <w:gridSpan w:val="2"/>
          </w:tcPr>
          <w:p w14:paraId="61F70196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її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період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296" w:type="dxa"/>
            <w:gridSpan w:val="2"/>
          </w:tcPr>
          <w:p w14:paraId="5C04B646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23.12.2022</w:t>
            </w:r>
          </w:p>
          <w:p w14:paraId="3BD1930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978-39-08</w:t>
            </w:r>
          </w:p>
        </w:tc>
        <w:tc>
          <w:tcPr>
            <w:tcW w:w="567" w:type="dxa"/>
          </w:tcPr>
          <w:p w14:paraId="7201D665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3402" w:type="dxa"/>
          </w:tcPr>
          <w:p w14:paraId="4B8AC7A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функціонування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електронного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документообігу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її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виконавчих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органах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період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2023-2027 роки</w:t>
            </w:r>
          </w:p>
        </w:tc>
        <w:tc>
          <w:tcPr>
            <w:tcW w:w="1430" w:type="dxa"/>
            <w:gridSpan w:val="2"/>
          </w:tcPr>
          <w:p w14:paraId="2619CE99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23.12.2022</w:t>
            </w:r>
          </w:p>
          <w:p w14:paraId="47178C43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978-39-08</w:t>
            </w:r>
          </w:p>
        </w:tc>
      </w:tr>
      <w:tr w:rsidR="002E7FEA" w14:paraId="1D4FB517" w14:textId="77777777">
        <w:tc>
          <w:tcPr>
            <w:tcW w:w="584" w:type="dxa"/>
          </w:tcPr>
          <w:p w14:paraId="012F29B7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2969" w:type="dxa"/>
            <w:gridSpan w:val="2"/>
          </w:tcPr>
          <w:p w14:paraId="095FF048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сіл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оцінки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сіл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296" w:type="dxa"/>
            <w:gridSpan w:val="2"/>
          </w:tcPr>
          <w:p w14:paraId="4091A05F" w14:textId="77777777" w:rsidR="002E7FEA" w:rsidRDefault="002E7FEA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2DC233EB" w14:textId="77777777" w:rsidR="002E7FEA" w:rsidRDefault="002E7FEA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0E4E809C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  <w:tc>
          <w:tcPr>
            <w:tcW w:w="567" w:type="dxa"/>
          </w:tcPr>
          <w:p w14:paraId="74A8AA06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402" w:type="dxa"/>
          </w:tcPr>
          <w:p w14:paraId="058FA1B8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проведення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інвентаризації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земель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(в межах та за межами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населених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пунктів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сіл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Княжичі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),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встановлення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меж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нормативної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грошової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оцінки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земель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сіл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Требухів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Переможець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2023-2024 роки</w:t>
            </w:r>
          </w:p>
        </w:tc>
        <w:tc>
          <w:tcPr>
            <w:tcW w:w="1430" w:type="dxa"/>
            <w:gridSpan w:val="2"/>
          </w:tcPr>
          <w:p w14:paraId="723BB4EE" w14:textId="77777777" w:rsidR="002E7FEA" w:rsidRDefault="002E7FEA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77990B4A" w14:textId="77777777" w:rsidR="002E7FEA" w:rsidRDefault="002E7FEA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5530766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27.07.2023                № 1261-52-08</w:t>
            </w:r>
          </w:p>
        </w:tc>
      </w:tr>
      <w:tr w:rsidR="002E7FEA" w14:paraId="29A286B7" w14:textId="77777777">
        <w:tc>
          <w:tcPr>
            <w:tcW w:w="584" w:type="dxa"/>
          </w:tcPr>
          <w:p w14:paraId="15E2EF73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969" w:type="dxa"/>
            <w:gridSpan w:val="2"/>
          </w:tcPr>
          <w:p w14:paraId="3E08DC2E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296" w:type="dxa"/>
            <w:gridSpan w:val="2"/>
          </w:tcPr>
          <w:p w14:paraId="74F39C89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21.12.2023</w:t>
            </w:r>
          </w:p>
          <w:p w14:paraId="40C92D1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1453-61-08</w:t>
            </w:r>
          </w:p>
        </w:tc>
        <w:tc>
          <w:tcPr>
            <w:tcW w:w="567" w:type="dxa"/>
          </w:tcPr>
          <w:p w14:paraId="00D3351B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3402" w:type="dxa"/>
          </w:tcPr>
          <w:p w14:paraId="41A9024F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ведення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містобудівного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кадастру 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Київської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 на 2024-2028 роки</w:t>
            </w:r>
          </w:p>
        </w:tc>
        <w:tc>
          <w:tcPr>
            <w:tcW w:w="1430" w:type="dxa"/>
            <w:gridSpan w:val="2"/>
          </w:tcPr>
          <w:p w14:paraId="0BCA5EB4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21.12.2023</w:t>
            </w:r>
          </w:p>
          <w:p w14:paraId="6D9FE1B3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1453-61-08</w:t>
            </w:r>
          </w:p>
        </w:tc>
      </w:tr>
      <w:tr w:rsidR="002E7FEA" w14:paraId="3FE0591C" w14:textId="77777777">
        <w:tc>
          <w:tcPr>
            <w:tcW w:w="584" w:type="dxa"/>
          </w:tcPr>
          <w:p w14:paraId="5B16E987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969" w:type="dxa"/>
            <w:gridSpan w:val="2"/>
          </w:tcPr>
          <w:p w14:paraId="1909D216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296" w:type="dxa"/>
            <w:gridSpan w:val="2"/>
          </w:tcPr>
          <w:p w14:paraId="28CD5B01" w14:textId="77777777" w:rsidR="002E7FEA" w:rsidRDefault="00000000">
            <w:pPr>
              <w:ind w:right="-2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21.12.202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3</w:t>
            </w:r>
          </w:p>
          <w:p w14:paraId="6928F400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1406-61-08</w:t>
            </w:r>
          </w:p>
        </w:tc>
        <w:tc>
          <w:tcPr>
            <w:tcW w:w="567" w:type="dxa"/>
          </w:tcPr>
          <w:p w14:paraId="63259E82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3402" w:type="dxa"/>
          </w:tcPr>
          <w:p w14:paraId="353EBA6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Програма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заходів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організації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оборони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Броварській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міській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територіальній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громаді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на 2024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1430" w:type="dxa"/>
            <w:gridSpan w:val="2"/>
          </w:tcPr>
          <w:p w14:paraId="42816E03" w14:textId="77777777" w:rsidR="002E7FEA" w:rsidRDefault="00000000">
            <w:pPr>
              <w:ind w:right="-2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21.12.2023</w:t>
            </w:r>
          </w:p>
          <w:p w14:paraId="7A664134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№ 1406-61-08</w:t>
            </w:r>
          </w:p>
        </w:tc>
      </w:tr>
      <w:tr w:rsidR="002E7FEA" w14:paraId="124DC6E9" w14:textId="77777777">
        <w:tc>
          <w:tcPr>
            <w:tcW w:w="584" w:type="dxa"/>
          </w:tcPr>
          <w:p w14:paraId="1CC74C55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2969" w:type="dxa"/>
            <w:gridSpan w:val="2"/>
          </w:tcPr>
          <w:p w14:paraId="24C82575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Програма фінансової підтримки Броварської міської ради Броварського району Київської області "Центр інформаційних технологій міста на 2023-2027 роки»</w:t>
            </w:r>
          </w:p>
        </w:tc>
        <w:tc>
          <w:tcPr>
            <w:tcW w:w="1296" w:type="dxa"/>
            <w:gridSpan w:val="2"/>
          </w:tcPr>
          <w:p w14:paraId="2D51C568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23.12.2022 № 979-39-08  (зі змінами)</w:t>
            </w:r>
          </w:p>
        </w:tc>
        <w:tc>
          <w:tcPr>
            <w:tcW w:w="567" w:type="dxa"/>
          </w:tcPr>
          <w:p w14:paraId="350F00B2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7.</w:t>
            </w:r>
          </w:p>
        </w:tc>
        <w:tc>
          <w:tcPr>
            <w:tcW w:w="3402" w:type="dxa"/>
          </w:tcPr>
          <w:p w14:paraId="1B9A854F" w14:textId="77777777" w:rsidR="002E7FEA" w:rsidRDefault="00000000">
            <w:pPr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Програма фінансової підтримки Броварської міської ради Броварського району Київської області "Центр інформаційних технологій міста на 2023-2027 роки»</w:t>
            </w:r>
          </w:p>
        </w:tc>
        <w:tc>
          <w:tcPr>
            <w:tcW w:w="1430" w:type="dxa"/>
            <w:gridSpan w:val="2"/>
          </w:tcPr>
          <w:p w14:paraId="11F8D69C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23.12.2022                 № 979-39-08  (зі змінами)</w:t>
            </w:r>
          </w:p>
        </w:tc>
      </w:tr>
      <w:tr w:rsidR="002E7FEA" w14:paraId="0BFCD210" w14:textId="77777777">
        <w:trPr>
          <w:gridAfter w:val="1"/>
          <w:wAfter w:w="13" w:type="dxa"/>
        </w:trPr>
        <w:tc>
          <w:tcPr>
            <w:tcW w:w="595" w:type="dxa"/>
            <w:gridSpan w:val="2"/>
          </w:tcPr>
          <w:p w14:paraId="4CD4A0E0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2976" w:type="dxa"/>
            <w:gridSpan w:val="2"/>
          </w:tcPr>
          <w:p w14:paraId="142C8F1D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      </w:r>
          </w:p>
        </w:tc>
        <w:tc>
          <w:tcPr>
            <w:tcW w:w="1278" w:type="dxa"/>
          </w:tcPr>
          <w:p w14:paraId="0C7B07EE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25.04.2024     № 1590-68-08</w:t>
            </w:r>
          </w:p>
        </w:tc>
        <w:tc>
          <w:tcPr>
            <w:tcW w:w="567" w:type="dxa"/>
          </w:tcPr>
          <w:p w14:paraId="66EBF85F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8.</w:t>
            </w:r>
          </w:p>
        </w:tc>
        <w:tc>
          <w:tcPr>
            <w:tcW w:w="3402" w:type="dxa"/>
          </w:tcPr>
          <w:p w14:paraId="05A43639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Програма відзначення осіб, які проявили мужність та відвагу під час виконання службового і громадянського обов’язку, членів сімей загиблих (померлих) військовослужбовців (захисників України), а також колективів підприємств, установ, організацій та окремих осіб за активну участь в допомозі Збройним Силам України та волонтерській діяльності, на 2024 рік</w:t>
            </w:r>
          </w:p>
        </w:tc>
        <w:tc>
          <w:tcPr>
            <w:tcW w:w="1417" w:type="dxa"/>
          </w:tcPr>
          <w:p w14:paraId="07C0D6CB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25.04.2024     № 1590-68-08</w:t>
            </w:r>
          </w:p>
        </w:tc>
      </w:tr>
      <w:tr w:rsidR="002E7FEA" w14:paraId="6B534489" w14:textId="77777777">
        <w:trPr>
          <w:gridAfter w:val="1"/>
          <w:wAfter w:w="13" w:type="dxa"/>
        </w:trPr>
        <w:tc>
          <w:tcPr>
            <w:tcW w:w="595" w:type="dxa"/>
            <w:gridSpan w:val="2"/>
          </w:tcPr>
          <w:p w14:paraId="7D1358A5" w14:textId="77777777" w:rsidR="002E7FEA" w:rsidRDefault="002E7FEA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976" w:type="dxa"/>
            <w:gridSpan w:val="2"/>
          </w:tcPr>
          <w:p w14:paraId="6A3CB1EB" w14:textId="77777777" w:rsidR="002E7FEA" w:rsidRDefault="002E7FEA">
            <w:pPr>
              <w:contextualSpacing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78" w:type="dxa"/>
          </w:tcPr>
          <w:p w14:paraId="35826781" w14:textId="77777777" w:rsidR="002E7FEA" w:rsidRDefault="002E7FEA">
            <w:pPr>
              <w:contextualSpacing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</w:tcPr>
          <w:p w14:paraId="66C97F40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9.</w:t>
            </w:r>
          </w:p>
        </w:tc>
        <w:tc>
          <w:tcPr>
            <w:tcW w:w="3402" w:type="dxa"/>
          </w:tcPr>
          <w:p w14:paraId="5B23ADB7" w14:textId="77777777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Програма сприяння розвитку підприємництва у Броварській міській територіальній громаді  на 2024-2028 роки</w:t>
            </w:r>
          </w:p>
        </w:tc>
        <w:tc>
          <w:tcPr>
            <w:tcW w:w="1417" w:type="dxa"/>
          </w:tcPr>
          <w:p w14:paraId="02CC1BCD" w14:textId="34CC770B" w:rsidR="002E7FEA" w:rsidRDefault="00000000">
            <w:pPr>
              <w:contextualSpacing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2</w:t>
            </w:r>
            <w:r w:rsidR="009276A4">
              <w:rPr>
                <w:rFonts w:ascii="Times New Roman" w:hAnsi="Times New Roman"/>
                <w:sz w:val="20"/>
                <w:szCs w:val="20"/>
                <w:lang w:val="uk-UA" w:eastAsia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.01.2024      № 1489-64-08</w:t>
            </w:r>
          </w:p>
        </w:tc>
      </w:tr>
    </w:tbl>
    <w:p w14:paraId="74793D65" w14:textId="77777777" w:rsidR="002E7FEA" w:rsidRDefault="002E7FE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14:paraId="6A3545BF" w14:textId="77777777" w:rsidR="002E7FEA" w:rsidRDefault="002E7FEA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p w14:paraId="18C1AC8C" w14:textId="77777777" w:rsidR="002E7FEA" w:rsidRDefault="0000000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59052982" w14:textId="77777777" w:rsidR="002E7FEA" w:rsidRDefault="0000000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економіки та інвестицій –</w:t>
      </w:r>
    </w:p>
    <w:p w14:paraId="36165856" w14:textId="77777777" w:rsidR="002E7FEA" w:rsidRDefault="00000000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Стефанія ФЕДЕНКО</w:t>
      </w:r>
    </w:p>
    <w:p w14:paraId="1247BB9A" w14:textId="77777777" w:rsidR="002E7FEA" w:rsidRDefault="002E7FEA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2E7FEA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5EE89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1076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FEA"/>
    <w:rsid w:val="002E7FEA"/>
    <w:rsid w:val="009276A4"/>
    <w:rsid w:val="00C4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6EA7"/>
  <w15:docId w15:val="{A95F7222-CE99-40F9-9DCA-5BBC208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No Spacing"/>
    <w:qFormat/>
    <w:pPr>
      <w:spacing w:after="0" w:line="240" w:lineRule="auto"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styleId="a7">
    <w:name w:val="Strong"/>
    <w:basedOn w:val="a0"/>
    <w:qFormat/>
    <w:rPr>
      <w:b/>
      <w:bCs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sz w:val="28"/>
      <w:szCs w:val="24"/>
      <w:lang w:val="uk-UA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4446</Words>
  <Characters>2535</Characters>
  <Application>Microsoft Office Word</Application>
  <DocSecurity>0</DocSecurity>
  <Lines>21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User-555</cp:lastModifiedBy>
  <cp:revision>18</cp:revision>
  <dcterms:created xsi:type="dcterms:W3CDTF">2021-03-03T14:03:00Z</dcterms:created>
  <dcterms:modified xsi:type="dcterms:W3CDTF">2024-08-06T12:13:00Z</dcterms:modified>
</cp:coreProperties>
</file>