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79E7" w:rsidP="00BE2C50" w14:paraId="2E153BC6" w14:textId="7FA2D7F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NewRomanPSMT" w:hAnsi="TimesNewRomanPSMT" w:cs="TimesNewRomanPSMT"/>
          <w:sz w:val="28"/>
          <w:szCs w:val="28"/>
        </w:rPr>
        <w:t>ЗАТВЕРДЖЕНО</w:t>
      </w:r>
    </w:p>
    <w:p w:rsidR="004208DA" w:rsidRPr="004208DA" w:rsidP="00BE2C50" w14:paraId="5C916CD2" w14:textId="58FC69D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RPr="004208DA" w:rsidP="00BE2C50" w14:paraId="2D63D81C" w14:textId="62C841F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BE2C50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06.08.2024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837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279E7" w:rsidP="004279E7" w14:paraId="2EEDF44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  <w:permStart w:id="1" w:edGrp="everyone"/>
      <w:r>
        <w:rPr>
          <w:rFonts w:ascii="TimesNewRomanPS-BoldMT" w:hAnsi="TimesNewRomanPS-BoldMT" w:cs="TimesNewRomanPS-BoldMT"/>
          <w:b/>
          <w:bCs/>
          <w:sz w:val="40"/>
          <w:szCs w:val="40"/>
        </w:rPr>
        <w:t>ПЛАН</w:t>
      </w:r>
    </w:p>
    <w:p w:rsidR="004279E7" w:rsidP="004279E7" w14:paraId="79C2503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sz w:val="40"/>
          <w:szCs w:val="40"/>
        </w:rPr>
        <w:t>забезпечення безпеки та стійкості Броварської міської</w:t>
      </w:r>
    </w:p>
    <w:p w:rsidR="004279E7" w:rsidP="004279E7" w14:paraId="2E8B4B4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sz w:val="40"/>
          <w:szCs w:val="40"/>
        </w:rPr>
        <w:t>територіальної громади Броварського району Київської області</w:t>
      </w:r>
    </w:p>
    <w:p w:rsidR="004279E7" w:rsidP="004279E7" w14:paraId="6F788688" w14:textId="77777777">
      <w:pPr>
        <w:spacing w:after="0"/>
        <w:ind w:left="284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sz w:val="40"/>
          <w:szCs w:val="40"/>
        </w:rPr>
        <w:t>на 2024-2026 роки</w:t>
      </w:r>
    </w:p>
    <w:p w:rsidR="00617517" w:rsidRPr="00EA126F" w:rsidP="00BE2C50" w14:paraId="03CC84DB" w14:textId="581174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30BC272F" w14:textId="3D3810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2ACD156C" w14:textId="18BBA1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712AFB93" w14:textId="190221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01CB0E88" w14:textId="65F91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1FD87558" w14:textId="4E1A69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6649F28C" w14:textId="3DEAE1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76CCEF35" w14:textId="2F01B4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6F67EA71" w14:textId="0099E1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2A6A9793" w14:textId="5645AE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4A56AA96" w14:textId="79DB251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53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552"/>
        <w:gridCol w:w="2381"/>
        <w:gridCol w:w="5244"/>
        <w:gridCol w:w="1276"/>
        <w:gridCol w:w="1984"/>
        <w:gridCol w:w="1701"/>
        <w:gridCol w:w="170"/>
        <w:gridCol w:w="993"/>
      </w:tblGrid>
      <w:tr w14:paraId="729245F2" w14:textId="77777777" w:rsidTr="004A4AFC">
        <w:tblPrEx>
          <w:tblW w:w="15301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Look w:val="04A0"/>
        </w:tblPrEx>
        <w:trPr>
          <w:trHeight w:val="300"/>
        </w:trPr>
        <w:tc>
          <w:tcPr>
            <w:tcW w:w="1552" w:type="dxa"/>
            <w:shd w:val="clear" w:color="auto" w:fill="EEECE1" w:themeFill="background2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21D5FE61" w14:textId="77777777">
            <w:pPr>
              <w:spacing w:line="259" w:lineRule="auto"/>
              <w:ind w:left="-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заходів</w:t>
            </w:r>
          </w:p>
        </w:tc>
        <w:tc>
          <w:tcPr>
            <w:tcW w:w="2381" w:type="dxa"/>
            <w:shd w:val="clear" w:color="auto" w:fill="EEECE1" w:themeFill="background2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298CA688" w14:textId="7777777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пріоритетного завдання</w:t>
            </w:r>
          </w:p>
        </w:tc>
        <w:tc>
          <w:tcPr>
            <w:tcW w:w="5244" w:type="dxa"/>
            <w:shd w:val="clear" w:color="auto" w:fill="EEECE1" w:themeFill="background2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13DD7A56" w14:textId="7777777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заходу, спрямованого на досягнення пріоритетних завдань</w:t>
            </w:r>
          </w:p>
        </w:tc>
        <w:tc>
          <w:tcPr>
            <w:tcW w:w="1276" w:type="dxa"/>
            <w:shd w:val="clear" w:color="auto" w:fill="EEECE1" w:themeFill="background2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32AB014C" w14:textId="7777777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 виконання</w:t>
            </w:r>
          </w:p>
        </w:tc>
        <w:tc>
          <w:tcPr>
            <w:tcW w:w="1984" w:type="dxa"/>
            <w:shd w:val="clear" w:color="auto" w:fill="EEECE1" w:themeFill="background2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655D8218" w14:textId="7777777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Відповідальні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виконання</w:t>
            </w:r>
          </w:p>
        </w:tc>
        <w:tc>
          <w:tcPr>
            <w:tcW w:w="1701" w:type="dxa"/>
            <w:shd w:val="clear" w:color="auto" w:fill="EEECE1" w:themeFill="background2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4F54C97B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Ресурси</w:t>
            </w:r>
          </w:p>
        </w:tc>
        <w:tc>
          <w:tcPr>
            <w:tcW w:w="1163" w:type="dxa"/>
            <w:gridSpan w:val="2"/>
            <w:shd w:val="clear" w:color="auto" w:fill="EEECE1" w:themeFill="background2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02C249B5" w14:textId="7777777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Індикатори виконання</w:t>
            </w:r>
          </w:p>
        </w:tc>
      </w:tr>
      <w:tr w14:paraId="4350F385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301" w:type="dxa"/>
            <w:gridSpan w:val="8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709240A9" w14:textId="77777777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БРОВАРСЬКА МІСЬКА ТЕРИТОРІАЛЬНА ГРОМАДА,</w:t>
            </w:r>
          </w:p>
          <w:p w:rsidR="007A5DFF" w:rsidRPr="00C815FC" w:rsidP="004A4AFC" w14:paraId="35C78BF5" w14:textId="77777777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Броварський  р-н</w:t>
            </w:r>
          </w:p>
        </w:tc>
      </w:tr>
      <w:tr w14:paraId="5CA7B64F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139B1407" w14:textId="7777777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Ідентифікація загроз та оцінювання наслідків їх реалізації</w:t>
            </w:r>
          </w:p>
        </w:tc>
        <w:tc>
          <w:tcPr>
            <w:tcW w:w="2381" w:type="dxa"/>
          </w:tcPr>
          <w:p w:rsidR="007A5DFF" w:rsidRPr="00C815FC" w:rsidP="007A5DFF" w14:paraId="3F5C1ACC" w14:textId="77777777">
            <w:pPr>
              <w:numPr>
                <w:ilvl w:val="3"/>
                <w:numId w:val="1"/>
              </w:numPr>
              <w:tabs>
                <w:tab w:val="left" w:pos="264"/>
              </w:tabs>
              <w:spacing w:before="120"/>
              <w:ind w:left="5" w:firstLine="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Ідентифікація загроз</w:t>
            </w:r>
          </w:p>
        </w:tc>
        <w:tc>
          <w:tcPr>
            <w:tcW w:w="5244" w:type="dxa"/>
          </w:tcPr>
          <w:p w:rsidR="007A5DFF" w:rsidRPr="00C815FC" w:rsidP="007A5DFF" w14:paraId="4B7CDE2C" w14:textId="77777777">
            <w:pPr>
              <w:numPr>
                <w:ilvl w:val="1"/>
                <w:numId w:val="6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Ідентифікація загроз;</w:t>
            </w:r>
          </w:p>
          <w:p w:rsidR="007A5DFF" w:rsidRPr="00C815FC" w:rsidP="007A5DFF" w14:paraId="10642490" w14:textId="77777777">
            <w:pPr>
              <w:numPr>
                <w:ilvl w:val="1"/>
                <w:numId w:val="6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Ранжування загроз;</w:t>
            </w:r>
          </w:p>
          <w:p w:rsidR="007A5DFF" w:rsidRPr="00C815FC" w:rsidP="007A5DFF" w14:paraId="6CDB7556" w14:textId="77777777">
            <w:pPr>
              <w:numPr>
                <w:ilvl w:val="1"/>
                <w:numId w:val="65"/>
              </w:numPr>
              <w:ind w:left="5" w:hanging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потенційних наслідків реалізації загроз.</w:t>
            </w:r>
          </w:p>
        </w:tc>
        <w:tc>
          <w:tcPr>
            <w:tcW w:w="1276" w:type="dxa"/>
          </w:tcPr>
          <w:p w:rsidR="007A5DFF" w:rsidRPr="00C815FC" w:rsidP="004A4AFC" w14:paraId="3A3159F5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1254CD45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Комісія з питань ТЕБ та НС</w:t>
            </w:r>
          </w:p>
        </w:tc>
        <w:tc>
          <w:tcPr>
            <w:tcW w:w="1701" w:type="dxa"/>
          </w:tcPr>
          <w:p w:rsidR="007A5DFF" w:rsidRPr="00C815FC" w:rsidP="004A4AFC" w14:paraId="5A538B8F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Донесення, доповіді, листи.</w:t>
            </w:r>
          </w:p>
        </w:tc>
        <w:tc>
          <w:tcPr>
            <w:tcW w:w="1163" w:type="dxa"/>
            <w:gridSpan w:val="2"/>
          </w:tcPr>
          <w:p w:rsidR="007A5DFF" w:rsidRPr="00C815FC" w:rsidP="004A4AFC" w14:paraId="521DCF54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14:paraId="4A8EA210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2909EB03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7C89A4A8" w14:textId="77777777">
            <w:pPr>
              <w:numPr>
                <w:ilvl w:val="0"/>
                <w:numId w:val="65"/>
              </w:numPr>
              <w:tabs>
                <w:tab w:val="left" w:pos="5"/>
              </w:tabs>
              <w:spacing w:before="12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Оцінювання наслідків реалізації загроз</w:t>
            </w:r>
          </w:p>
        </w:tc>
        <w:tc>
          <w:tcPr>
            <w:tcW w:w="5244" w:type="dxa"/>
          </w:tcPr>
          <w:p w:rsidR="007A5DFF" w:rsidRPr="00C815FC" w:rsidP="007A5DFF" w14:paraId="477EC7AD" w14:textId="77777777">
            <w:pPr>
              <w:numPr>
                <w:ilvl w:val="1"/>
                <w:numId w:val="65"/>
              </w:numPr>
              <w:ind w:left="5" w:hanging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 наслідків реалізації загроз за критеріями;</w:t>
            </w:r>
          </w:p>
          <w:p w:rsidR="007A5DFF" w:rsidRPr="00C815FC" w:rsidP="007A5DFF" w14:paraId="65BF216B" w14:textId="77777777">
            <w:pPr>
              <w:numPr>
                <w:ilvl w:val="1"/>
                <w:numId w:val="65"/>
              </w:numPr>
              <w:ind w:left="5" w:hanging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вразливих місць, можливостей та активів громади;</w:t>
            </w:r>
          </w:p>
          <w:p w:rsidR="007A5DFF" w:rsidRPr="00C815FC" w:rsidP="007A5DFF" w14:paraId="70720373" w14:textId="77777777">
            <w:pPr>
              <w:numPr>
                <w:ilvl w:val="1"/>
                <w:numId w:val="65"/>
              </w:numPr>
              <w:ind w:left="5" w:hanging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вразливих людей і підтримку, яку вони можуть потребувати;</w:t>
            </w:r>
          </w:p>
          <w:p w:rsidR="007A5DFF" w:rsidRPr="00C815FC" w:rsidP="007A5DFF" w14:paraId="60FB3D19" w14:textId="77777777">
            <w:pPr>
              <w:numPr>
                <w:ilvl w:val="1"/>
                <w:numId w:val="65"/>
              </w:numPr>
              <w:ind w:left="5" w:hanging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Визначення необхідних ресурсів та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спроможностей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дотримання стійкості надання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життєво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важливих послуг.</w:t>
            </w:r>
          </w:p>
        </w:tc>
        <w:tc>
          <w:tcPr>
            <w:tcW w:w="1276" w:type="dxa"/>
          </w:tcPr>
          <w:p w:rsidR="007A5DFF" w:rsidRPr="00C815FC" w:rsidP="004A4AFC" w14:paraId="2163DEB2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року</w:t>
            </w:r>
          </w:p>
        </w:tc>
        <w:tc>
          <w:tcPr>
            <w:tcW w:w="1984" w:type="dxa"/>
          </w:tcPr>
          <w:p w:rsidR="007A5DFF" w:rsidRPr="00C815FC" w:rsidP="004A4AFC" w14:paraId="0F631AC0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Комісія з питань ТЕБ та НС</w:t>
            </w:r>
          </w:p>
        </w:tc>
        <w:tc>
          <w:tcPr>
            <w:tcW w:w="1701" w:type="dxa"/>
          </w:tcPr>
          <w:p w:rsidR="007A5DFF" w:rsidRPr="00C815FC" w:rsidP="004A4AFC" w14:paraId="6805E12F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Цільові програми, матеріальний резерв.</w:t>
            </w:r>
          </w:p>
        </w:tc>
        <w:tc>
          <w:tcPr>
            <w:tcW w:w="1163" w:type="dxa"/>
            <w:gridSpan w:val="2"/>
          </w:tcPr>
          <w:p w:rsidR="007A5DFF" w:rsidRPr="00C815FC" w:rsidP="004A4AFC" w14:paraId="449CB312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Протокол, списки осіб, перелік необхідних ресурсів.</w:t>
            </w:r>
          </w:p>
        </w:tc>
      </w:tr>
      <w:tr w14:paraId="63FD8F33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5CEC2890" w14:textId="7777777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Превентивні заходи</w:t>
            </w:r>
          </w:p>
        </w:tc>
        <w:tc>
          <w:tcPr>
            <w:tcW w:w="2381" w:type="dxa"/>
          </w:tcPr>
          <w:p w:rsidR="007A5DFF" w:rsidRPr="00C815FC" w:rsidP="007A5DFF" w14:paraId="6ADCF39A" w14:textId="77777777">
            <w:pPr>
              <w:numPr>
                <w:ilvl w:val="0"/>
                <w:numId w:val="3"/>
              </w:numPr>
              <w:tabs>
                <w:tab w:val="left" w:pos="264"/>
              </w:tabs>
              <w:spacing w:before="120"/>
              <w:ind w:left="33" w:hanging="28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Забезпечення цивільного захисту громади </w:t>
            </w:r>
          </w:p>
        </w:tc>
        <w:tc>
          <w:tcPr>
            <w:tcW w:w="5244" w:type="dxa"/>
          </w:tcPr>
          <w:p w:rsidR="007A5DFF" w:rsidRPr="00C815FC" w:rsidP="007A5DFF" w14:paraId="397A4C3D" w14:textId="77777777">
            <w:pPr>
              <w:numPr>
                <w:ilvl w:val="1"/>
                <w:numId w:val="3"/>
              </w:numPr>
              <w:ind w:left="48" w:hanging="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наявності та стану укриттів на території громади;</w:t>
            </w:r>
          </w:p>
          <w:p w:rsidR="007A5DFF" w:rsidRPr="00C815FC" w:rsidP="007A5DFF" w14:paraId="23CB8C37" w14:textId="77777777">
            <w:pPr>
              <w:numPr>
                <w:ilvl w:val="1"/>
                <w:numId w:val="3"/>
              </w:numPr>
              <w:ind w:left="48" w:hanging="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Дооснащення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наявних укриттів;</w:t>
            </w:r>
          </w:p>
          <w:p w:rsidR="007A5DFF" w:rsidRPr="00C815FC" w:rsidP="007A5DFF" w14:paraId="52CEDB78" w14:textId="77777777">
            <w:pPr>
              <w:numPr>
                <w:ilvl w:val="1"/>
                <w:numId w:val="3"/>
              </w:numPr>
              <w:ind w:left="48" w:hanging="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систем оповіщення;</w:t>
            </w:r>
          </w:p>
          <w:p w:rsidR="007A5DFF" w:rsidRPr="00C815FC" w:rsidP="007A5DFF" w14:paraId="64C65AFD" w14:textId="77777777">
            <w:pPr>
              <w:numPr>
                <w:ilvl w:val="1"/>
                <w:numId w:val="3"/>
              </w:numPr>
              <w:ind w:left="48" w:hanging="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наявних систем;</w:t>
            </w:r>
          </w:p>
          <w:p w:rsidR="007A5DFF" w:rsidRPr="00C815FC" w:rsidP="007A5DFF" w14:paraId="289D984B" w14:textId="77777777">
            <w:pPr>
              <w:numPr>
                <w:ilvl w:val="1"/>
                <w:numId w:val="3"/>
              </w:numPr>
              <w:ind w:left="45" w:hanging="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створення системи;</w:t>
            </w:r>
          </w:p>
          <w:p w:rsidR="007A5DFF" w:rsidRPr="00C815FC" w:rsidP="007A5DFF" w14:paraId="40E83CCE" w14:textId="77777777">
            <w:pPr>
              <w:numPr>
                <w:ilvl w:val="1"/>
                <w:numId w:val="3"/>
              </w:numPr>
              <w:ind w:left="45" w:hanging="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навчання населення щодо надання першої медичної допомоги та порядку дій у разі виникнення надзвичайної ситуації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A5DFF" w:rsidRPr="00C815FC" w:rsidP="004A4AFC" w14:paraId="28717039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оквартально</w:t>
            </w:r>
          </w:p>
        </w:tc>
        <w:tc>
          <w:tcPr>
            <w:tcW w:w="1984" w:type="dxa"/>
          </w:tcPr>
          <w:p w:rsidR="007A5DFF" w:rsidRPr="00C815FC" w:rsidP="004A4AFC" w14:paraId="22EAF5D4" w14:textId="77777777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комітет,,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міжвідомча комісія,  балансоутримувачі об’єктів.</w:t>
            </w:r>
          </w:p>
        </w:tc>
        <w:tc>
          <w:tcPr>
            <w:tcW w:w="1701" w:type="dxa"/>
          </w:tcPr>
          <w:p w:rsidR="007A5DFF" w:rsidRPr="00C815FC" w:rsidP="004A4AFC" w14:paraId="2AE5858E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Цільові програми</w:t>
            </w:r>
          </w:p>
        </w:tc>
        <w:tc>
          <w:tcPr>
            <w:tcW w:w="1163" w:type="dxa"/>
            <w:gridSpan w:val="2"/>
          </w:tcPr>
          <w:p w:rsidR="007A5DFF" w:rsidRPr="00C815FC" w:rsidP="004A4AFC" w14:paraId="424173A0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Акти, проектно-кошторисна документація, наочна інформація.</w:t>
            </w:r>
          </w:p>
        </w:tc>
      </w:tr>
      <w:tr w14:paraId="553C6686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116B7BB6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6375A2F9" w14:textId="77777777">
            <w:pPr>
              <w:numPr>
                <w:ilvl w:val="0"/>
                <w:numId w:val="3"/>
              </w:numPr>
              <w:tabs>
                <w:tab w:val="left" w:pos="300"/>
              </w:tabs>
              <w:spacing w:before="120"/>
              <w:ind w:left="33" w:hanging="28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Створення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резервів</w:t>
            </w:r>
          </w:p>
        </w:tc>
        <w:tc>
          <w:tcPr>
            <w:tcW w:w="5244" w:type="dxa"/>
          </w:tcPr>
          <w:p w:rsidR="007A5DFF" w:rsidRPr="00C815FC" w:rsidP="007A5DFF" w14:paraId="32FA0A97" w14:textId="77777777">
            <w:pPr>
              <w:numPr>
                <w:ilvl w:val="1"/>
                <w:numId w:val="4"/>
              </w:numPr>
              <w:ind w:left="48" w:hanging="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Перевірка рівня забезпеченості громади продуктами харчування та питною водою;</w:t>
            </w:r>
          </w:p>
          <w:p w:rsidR="007A5DFF" w:rsidRPr="00C815FC" w:rsidP="007A5DFF" w14:paraId="3D751E6B" w14:textId="77777777">
            <w:pPr>
              <w:numPr>
                <w:ilvl w:val="1"/>
                <w:numId w:val="4"/>
              </w:numPr>
              <w:ind w:left="48" w:hanging="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Перевірка забезпеченості ресурсами, необхідними для евакуації населення (житло, транспорт);</w:t>
            </w:r>
          </w:p>
          <w:p w:rsidR="007A5DFF" w:rsidRPr="00C815FC" w:rsidP="007A5DFF" w14:paraId="511CC75C" w14:textId="77777777">
            <w:pPr>
              <w:numPr>
                <w:ilvl w:val="1"/>
                <w:numId w:val="4"/>
              </w:numPr>
              <w:ind w:left="48" w:hanging="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Перевірка наявності альтернативних джерел надання послуги енергозабезпечення, водопостачання/водовідведення, охорони здоров’я тощо;</w:t>
            </w:r>
          </w:p>
          <w:p w:rsidR="007A5DFF" w:rsidRPr="00C815FC" w:rsidP="007A5DFF" w14:paraId="5819021E" w14:textId="77777777">
            <w:pPr>
              <w:numPr>
                <w:ilvl w:val="1"/>
                <w:numId w:val="4"/>
              </w:numPr>
              <w:ind w:left="48" w:hanging="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Перевірка наявності матеріалів, необхідних для відновлення громади;</w:t>
            </w:r>
          </w:p>
          <w:p w:rsidR="007A5DFF" w:rsidRPr="00C815FC" w:rsidP="007A5DFF" w14:paraId="52730FBD" w14:textId="77777777">
            <w:pPr>
              <w:numPr>
                <w:ilvl w:val="1"/>
                <w:numId w:val="4"/>
              </w:numPr>
              <w:ind w:left="48" w:hanging="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Формування потреби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створення резервів питної води, харчування, ресурсів для здійснення евакуації, резервів альтернативних джерел надання послуг (генераторів, зарядних станцій, свердловин, портативних стільникових станцій тощо), резервів матеріалів, необхідних для відновлення громади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:rsidR="007A5DFF" w:rsidRPr="00C815FC" w:rsidP="007A5DFF" w14:paraId="232FB382" w14:textId="77777777">
            <w:pPr>
              <w:numPr>
                <w:ilvl w:val="1"/>
                <w:numId w:val="4"/>
              </w:numPr>
              <w:ind w:left="48" w:hanging="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Закупівля та створення резервів.</w:t>
            </w:r>
          </w:p>
        </w:tc>
        <w:tc>
          <w:tcPr>
            <w:tcW w:w="1276" w:type="dxa"/>
          </w:tcPr>
          <w:p w:rsidR="007A5DFF" w:rsidRPr="00C815FC" w:rsidP="004A4AFC" w14:paraId="780640A4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22EAB92F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Виконавчий </w:t>
            </w: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комітет, комісія з питань ТЕБ та НС, оператори на дання послуг</w:t>
            </w:r>
          </w:p>
        </w:tc>
        <w:tc>
          <w:tcPr>
            <w:tcW w:w="1701" w:type="dxa"/>
          </w:tcPr>
          <w:p w:rsidR="007A5DFF" w:rsidRPr="00C815FC" w:rsidP="004A4AFC" w14:paraId="21CEFF3E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Цільові </w:t>
            </w: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програми, матеріальний резерв.</w:t>
            </w:r>
          </w:p>
        </w:tc>
        <w:tc>
          <w:tcPr>
            <w:tcW w:w="1163" w:type="dxa"/>
            <w:gridSpan w:val="2"/>
          </w:tcPr>
          <w:p w:rsidR="007A5DFF" w:rsidRPr="00C815FC" w:rsidP="004A4AFC" w14:paraId="1D22A5B9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Акти, </w:t>
            </w: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протоколи, рішення виконавчого комітету.</w:t>
            </w:r>
          </w:p>
        </w:tc>
      </w:tr>
      <w:tr w14:paraId="248849BE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093604FD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786A1D5F" w14:textId="77777777">
            <w:pPr>
              <w:numPr>
                <w:ilvl w:val="0"/>
                <w:numId w:val="5"/>
              </w:numPr>
              <w:spacing w:before="120"/>
              <w:ind w:left="33" w:hanging="28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Створення альтернативних способів забезпечення громади</w:t>
            </w:r>
          </w:p>
        </w:tc>
        <w:tc>
          <w:tcPr>
            <w:tcW w:w="5244" w:type="dxa"/>
          </w:tcPr>
          <w:p w:rsidR="007A5DFF" w:rsidRPr="00C815FC" w:rsidP="004A4AFC" w14:paraId="19F5BFF2" w14:textId="777777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3.1.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Перевірка наявності альтернативних джерел забезпечення громади питною водою та продуктами харчування;</w:t>
            </w:r>
          </w:p>
          <w:p w:rsidR="007A5DFF" w:rsidRPr="00C815FC" w:rsidP="004A4AFC" w14:paraId="03D17944" w14:textId="777777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3.2.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Перевірка наявності альтернативних джерел забезпечення громади електроенергією;</w:t>
            </w:r>
          </w:p>
          <w:p w:rsidR="007A5DFF" w:rsidRPr="00C815FC" w:rsidP="004A4AFC" w14:paraId="1625CAB8" w14:textId="777777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3.3.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Перевірка наявності альтернативних джерел забезпечення громади технічною водою;</w:t>
            </w:r>
          </w:p>
          <w:p w:rsidR="007A5DFF" w:rsidRPr="00C815FC" w:rsidP="004A4AFC" w14:paraId="42DEC458" w14:textId="777777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3.4.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Перевірка наявності альтернативних способів доставки ресурсів;</w:t>
            </w:r>
          </w:p>
          <w:p w:rsidR="007A5DFF" w:rsidRPr="00C815FC" w:rsidP="004A4AFC" w14:paraId="771F3317" w14:textId="777777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3.5.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потреби за результатами проведених перевірок;</w:t>
            </w:r>
          </w:p>
          <w:p w:rsidR="007A5DFF" w:rsidRPr="00C815FC" w:rsidP="004A4AFC" w14:paraId="02F7F25E" w14:textId="777777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3.6.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Закупівля ресурсів;</w:t>
            </w:r>
          </w:p>
          <w:p w:rsidR="007A5DFF" w:rsidRPr="00C815FC" w:rsidP="004A4AFC" w14:paraId="7D19C11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3.7.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Ремонт, будівництво тощо.</w:t>
            </w:r>
          </w:p>
        </w:tc>
        <w:tc>
          <w:tcPr>
            <w:tcW w:w="1276" w:type="dxa"/>
          </w:tcPr>
          <w:p w:rsidR="007A5DFF" w:rsidRPr="00C815FC" w:rsidP="004A4AFC" w14:paraId="60123B85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368240E6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комітет, комісія з питань ТЕБ та НС, оператори на дання послуг</w:t>
            </w:r>
          </w:p>
        </w:tc>
        <w:tc>
          <w:tcPr>
            <w:tcW w:w="1701" w:type="dxa"/>
          </w:tcPr>
          <w:p w:rsidR="007A5DFF" w:rsidRPr="00C815FC" w:rsidP="004A4AFC" w14:paraId="3E007A64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Цільові програми, матеріальний резерв.</w:t>
            </w:r>
          </w:p>
        </w:tc>
        <w:tc>
          <w:tcPr>
            <w:tcW w:w="1163" w:type="dxa"/>
            <w:gridSpan w:val="2"/>
          </w:tcPr>
          <w:p w:rsidR="007A5DFF" w:rsidRPr="00C815FC" w:rsidP="004A4AFC" w14:paraId="33642911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Акти, протоколи, рішення виконавчого комітету.</w:t>
            </w:r>
          </w:p>
        </w:tc>
      </w:tr>
      <w:tr w14:paraId="4DCAE9BF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1B81CC53" w14:textId="7777777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Заходи з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реагування</w:t>
            </w:r>
          </w:p>
        </w:tc>
        <w:tc>
          <w:tcPr>
            <w:tcW w:w="2381" w:type="dxa"/>
          </w:tcPr>
          <w:p w:rsidR="007A5DFF" w:rsidRPr="00C815FC" w:rsidP="007A5DFF" w14:paraId="5D885EDF" w14:textId="77777777">
            <w:pPr>
              <w:numPr>
                <w:ilvl w:val="0"/>
                <w:numId w:val="6"/>
              </w:numPr>
              <w:spacing w:before="120"/>
              <w:ind w:left="33" w:hanging="28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Визначення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спроможностей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 для реагування</w:t>
            </w:r>
          </w:p>
        </w:tc>
        <w:tc>
          <w:tcPr>
            <w:tcW w:w="5244" w:type="dxa"/>
          </w:tcPr>
          <w:p w:rsidR="007A5DFF" w:rsidRPr="00C815FC" w:rsidP="004A4AFC" w14:paraId="53AC7F3B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1.1.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Визначення вимог до структури, чисельності особового складу військових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формувань та правоохоронних органів, необхідних для реагування;</w:t>
            </w:r>
          </w:p>
          <w:p w:rsidR="007A5DFF" w:rsidRPr="00C815FC" w:rsidP="004A4AFC" w14:paraId="1B99DBB1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1.2.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  <w:t xml:space="preserve">Визначення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кількісних та якісних показників озброєння та військової (спеціальної) техніки, інших видів матеріально-технічного забезпечення, військової (спеціальної) інфраструктури;</w:t>
            </w:r>
          </w:p>
          <w:p w:rsidR="007A5DFF" w:rsidRPr="00C815FC" w:rsidP="004A4AFC" w14:paraId="788DE64C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1.3.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потреби в засобах та силах, необхідних для реагування;</w:t>
            </w:r>
          </w:p>
          <w:p w:rsidR="007A5DFF" w:rsidRPr="00C815FC" w:rsidP="004A4AFC" w14:paraId="76C8D902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1.4.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плану взаємодії із сусідніми громадами для заповнення потреби при реагуванні;</w:t>
            </w:r>
          </w:p>
          <w:p w:rsidR="007A5DFF" w:rsidRPr="00C815FC" w:rsidP="004A4AFC" w14:paraId="123A150B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1.5.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  <w:t>Реагування на кризові ситуації за Протоколами реагування функціональних органів.</w:t>
            </w:r>
          </w:p>
        </w:tc>
        <w:tc>
          <w:tcPr>
            <w:tcW w:w="1276" w:type="dxa"/>
          </w:tcPr>
          <w:p w:rsidR="007A5DFF" w:rsidRPr="00C815FC" w:rsidP="004A4AFC" w14:paraId="59460F73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відповідності з планами реагування та взаємодії.</w:t>
            </w:r>
          </w:p>
        </w:tc>
        <w:tc>
          <w:tcPr>
            <w:tcW w:w="1984" w:type="dxa"/>
          </w:tcPr>
          <w:p w:rsidR="007A5DFF" w:rsidRPr="00C815FC" w:rsidP="004A4AFC" w14:paraId="6FCBA16A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відповідності з </w:t>
            </w: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планами реагування та взаємодії.</w:t>
            </w:r>
          </w:p>
        </w:tc>
        <w:tc>
          <w:tcPr>
            <w:tcW w:w="1701" w:type="dxa"/>
          </w:tcPr>
          <w:p w:rsidR="007A5DFF" w:rsidRPr="00C815FC" w:rsidP="004A4AFC" w14:paraId="71FC5C43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відповідності з планами реагування та взаємодії.</w:t>
            </w:r>
          </w:p>
        </w:tc>
        <w:tc>
          <w:tcPr>
            <w:tcW w:w="1163" w:type="dxa"/>
            <w:gridSpan w:val="2"/>
          </w:tcPr>
          <w:p w:rsidR="007A5DFF" w:rsidRPr="00C815FC" w:rsidP="004A4AFC" w14:paraId="796C60CF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відповідності з планами реагування та взаємодії.</w:t>
            </w:r>
          </w:p>
        </w:tc>
      </w:tr>
      <w:tr w14:paraId="51ABF5F4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7C762AA9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5C4F9346" w14:textId="77777777">
            <w:pPr>
              <w:numPr>
                <w:ilvl w:val="0"/>
                <w:numId w:val="6"/>
              </w:numPr>
              <w:spacing w:before="120"/>
              <w:ind w:left="33" w:hanging="28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можливості евакуації</w:t>
            </w:r>
          </w:p>
        </w:tc>
        <w:tc>
          <w:tcPr>
            <w:tcW w:w="5244" w:type="dxa"/>
          </w:tcPr>
          <w:p w:rsidR="007A5DFF" w:rsidRPr="00C815FC" w:rsidP="004A4AFC" w14:paraId="73D1C443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2.1.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Визначити порядок дій при евакуації;</w:t>
            </w:r>
          </w:p>
          <w:p w:rsidR="007A5DFF" w:rsidRPr="00C815FC" w:rsidP="004A4AFC" w14:paraId="51632464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2.2.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Перевірити наявність ресурсів для здійснення евакуації (автобуси, човни тощо);</w:t>
            </w:r>
          </w:p>
          <w:p w:rsidR="007A5DFF" w:rsidRPr="00C815FC" w:rsidP="004A4AFC" w14:paraId="6377F973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2.3.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Перевірити наявність житла для евакуйованого населення;</w:t>
            </w:r>
          </w:p>
          <w:p w:rsidR="007A5DFF" w:rsidRPr="00C815FC" w:rsidP="004A4AFC" w14:paraId="0CA9AAEA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2.4.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Забезпечення евакуйованого населення водою, продовольством та житлом.</w:t>
            </w:r>
          </w:p>
        </w:tc>
        <w:tc>
          <w:tcPr>
            <w:tcW w:w="1276" w:type="dxa"/>
          </w:tcPr>
          <w:p w:rsidR="007A5DFF" w:rsidRPr="00C815FC" w:rsidP="004A4AFC" w14:paraId="640E8954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відповідності з планом евакуації</w:t>
            </w:r>
          </w:p>
        </w:tc>
        <w:tc>
          <w:tcPr>
            <w:tcW w:w="1984" w:type="dxa"/>
          </w:tcPr>
          <w:p w:rsidR="007A5DFF" w:rsidRPr="00C815FC" w:rsidP="004A4AFC" w14:paraId="1CB74FCF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Евакуаційна комісія</w:t>
            </w:r>
          </w:p>
        </w:tc>
        <w:tc>
          <w:tcPr>
            <w:tcW w:w="1701" w:type="dxa"/>
          </w:tcPr>
          <w:p w:rsidR="007A5DFF" w:rsidRPr="00C815FC" w:rsidP="004A4AFC" w14:paraId="3F7D681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Відповідно до розробленого плану евакуації населення, матеріальних і культурних цінностей Броварської територіальної громади у разі загрози або виникнення НС </w:t>
            </w:r>
          </w:p>
        </w:tc>
        <w:tc>
          <w:tcPr>
            <w:tcW w:w="1163" w:type="dxa"/>
            <w:gridSpan w:val="2"/>
          </w:tcPr>
          <w:p w:rsidR="007A5DFF" w:rsidRPr="00C815FC" w:rsidP="004A4AFC" w14:paraId="490EA3BA" w14:textId="77777777">
            <w:pPr>
              <w:spacing w:before="120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відповідності з планом евакуації</w:t>
            </w:r>
          </w:p>
        </w:tc>
      </w:tr>
      <w:tr w14:paraId="07A2EADF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4D07743F" w14:textId="7777777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Заходи з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відновлення</w:t>
            </w:r>
          </w:p>
        </w:tc>
        <w:tc>
          <w:tcPr>
            <w:tcW w:w="2381" w:type="dxa"/>
          </w:tcPr>
          <w:p w:rsidR="007A5DFF" w:rsidRPr="00C815FC" w:rsidP="007A5DFF" w14:paraId="3203703A" w14:textId="77777777">
            <w:pPr>
              <w:numPr>
                <w:ilvl w:val="0"/>
                <w:numId w:val="7"/>
              </w:numPr>
              <w:spacing w:before="120"/>
              <w:ind w:left="33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Забезпечити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можливість постачання продовольства та води </w:t>
            </w:r>
          </w:p>
        </w:tc>
        <w:tc>
          <w:tcPr>
            <w:tcW w:w="5244" w:type="dxa"/>
          </w:tcPr>
          <w:p w:rsidR="007A5DFF" w:rsidRPr="00C815FC" w:rsidP="007A5DFF" w14:paraId="48F524A8" w14:textId="77777777">
            <w:pPr>
              <w:numPr>
                <w:ilvl w:val="1"/>
                <w:numId w:val="7"/>
              </w:numPr>
              <w:ind w:left="48" w:hanging="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Перевірити наявність взаємодії із сусідніми громадами щодо забезпечення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громади питною водою та продовольством;</w:t>
            </w:r>
          </w:p>
          <w:p w:rsidR="007A5DFF" w:rsidRPr="00C815FC" w:rsidP="007A5DFF" w14:paraId="7F8C14B9" w14:textId="77777777">
            <w:pPr>
              <w:numPr>
                <w:ilvl w:val="1"/>
                <w:numId w:val="7"/>
              </w:numPr>
              <w:ind w:left="48" w:hanging="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творити плани взаємодії із сусідніми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громадами.</w:t>
            </w:r>
          </w:p>
        </w:tc>
        <w:tc>
          <w:tcPr>
            <w:tcW w:w="1276" w:type="dxa"/>
          </w:tcPr>
          <w:p w:rsidR="007A5DFF" w:rsidRPr="00C815FC" w:rsidP="004A4AFC" w14:paraId="3C03F94A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7F7F5DED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будівництва, житлово-комунального господарства, інфраструктури та транспорту</w:t>
            </w:r>
          </w:p>
        </w:tc>
        <w:tc>
          <w:tcPr>
            <w:tcW w:w="1701" w:type="dxa"/>
          </w:tcPr>
          <w:p w:rsidR="007A5DFF" w:rsidRPr="00C815FC" w:rsidP="004A4AFC" w14:paraId="54434954" w14:textId="7777777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розробленого Плану реагування органів управління та сил цивільного захисту Броварської міської ради при загрозі та виникненні НС техногенного та природного характеру</w:t>
            </w:r>
          </w:p>
        </w:tc>
        <w:tc>
          <w:tcPr>
            <w:tcW w:w="1163" w:type="dxa"/>
            <w:gridSpan w:val="2"/>
          </w:tcPr>
          <w:p w:rsidR="007A5DFF" w:rsidRPr="00C815FC" w:rsidP="004A4AFC" w14:paraId="3460FBA6" w14:textId="77777777">
            <w:pPr>
              <w:spacing w:before="12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E03996A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10191F24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2ECC6F69" w14:textId="77777777">
            <w:pPr>
              <w:numPr>
                <w:ilvl w:val="0"/>
                <w:numId w:val="7"/>
              </w:numPr>
              <w:spacing w:before="120"/>
              <w:ind w:left="33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Забезпечити можливість здійснення ремонту у найкоротші терміни.</w:t>
            </w:r>
          </w:p>
        </w:tc>
        <w:tc>
          <w:tcPr>
            <w:tcW w:w="5244" w:type="dxa"/>
          </w:tcPr>
          <w:p w:rsidR="007A5DFF" w:rsidRPr="00C815FC" w:rsidP="007A5DFF" w14:paraId="73DAE5FC" w14:textId="77777777">
            <w:pPr>
              <w:numPr>
                <w:ilvl w:val="1"/>
                <w:numId w:val="8"/>
              </w:numPr>
              <w:ind w:left="48" w:hanging="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Перевірити наявність ресурсів, необхідних для відновлення/відбудови громади;</w:t>
            </w:r>
          </w:p>
          <w:p w:rsidR="007A5DFF" w:rsidRPr="00C815FC" w:rsidP="007A5DFF" w14:paraId="2FB5E265" w14:textId="77777777">
            <w:pPr>
              <w:numPr>
                <w:ilvl w:val="1"/>
                <w:numId w:val="8"/>
              </w:numPr>
              <w:ind w:left="48" w:hanging="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Застосування резервів матеріалів для якнайшвидшої відбудови та відновлення громади.</w:t>
            </w:r>
          </w:p>
          <w:p w:rsidR="007A5DFF" w:rsidRPr="00C815FC" w:rsidP="004A4AFC" w14:paraId="6FBAFB41" w14:textId="77777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276" w:type="dxa"/>
          </w:tcPr>
          <w:p w:rsidR="007A5DFF" w:rsidRPr="00C815FC" w:rsidP="004A4AFC" w14:paraId="7345E026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5AB5159A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будівництва, житлово-комунального господарства, інфраструктури та транспорту</w:t>
            </w:r>
          </w:p>
        </w:tc>
        <w:tc>
          <w:tcPr>
            <w:tcW w:w="1701" w:type="dxa"/>
          </w:tcPr>
          <w:p w:rsidR="007A5DFF" w:rsidRPr="00C815FC" w:rsidP="004A4AFC" w14:paraId="700AA243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розробленого Плану реагування органів управління та сил цивільного захисту Броварської міської ради при загрозі та виникненні НС техногенного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та природного характеру</w:t>
            </w:r>
          </w:p>
        </w:tc>
        <w:tc>
          <w:tcPr>
            <w:tcW w:w="1163" w:type="dxa"/>
            <w:gridSpan w:val="2"/>
          </w:tcPr>
          <w:p w:rsidR="007A5DFF" w:rsidRPr="00C815FC" w:rsidP="004A4AFC" w14:paraId="62FFE511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5ED4F85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301" w:type="dxa"/>
            <w:gridSpan w:val="8"/>
            <w:tcMar>
              <w:left w:w="105" w:type="dxa"/>
              <w:right w:w="105" w:type="dxa"/>
            </w:tcMar>
          </w:tcPr>
          <w:p w:rsidR="007A5DFF" w:rsidRPr="00C815FC" w:rsidP="004A4AFC" w14:paraId="3B2141FD" w14:textId="77777777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ПОСЛУГА ЕНЕРГОЗАБЕЗПЕЧЕННЯ</w:t>
            </w:r>
          </w:p>
        </w:tc>
      </w:tr>
      <w:tr w14:paraId="19A020C6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301" w:type="dxa"/>
            <w:gridSpan w:val="8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:rsidR="007A5DFF" w:rsidRPr="00C815FC" w:rsidP="004A4AFC" w14:paraId="7C10552A" w14:textId="77777777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Перелік об’єктів, які забезпечують життєдіяльність: </w:t>
            </w:r>
            <w:r w:rsidRPr="00C81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ПС: Металургійна-110/10/10 Т1; Металургійна-110/10/10 Т2,</w:t>
            </w:r>
            <w:r w:rsidRPr="00C81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Алюмінієва-110/10/10 Т1; </w:t>
            </w:r>
            <w:r w:rsidRPr="00C81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Алюмінієва-110/10/10 Т2; Княжичі-110/35/10 Т1;</w:t>
            </w:r>
          </w:p>
        </w:tc>
      </w:tr>
      <w:tr w14:paraId="653FD8E8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2F1610CA" w14:textId="77777777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Превентивні заходи</w:t>
            </w:r>
          </w:p>
        </w:tc>
        <w:tc>
          <w:tcPr>
            <w:tcW w:w="2381" w:type="dxa"/>
          </w:tcPr>
          <w:p w:rsidR="007A5DFF" w:rsidRPr="00C815FC" w:rsidP="007A5DFF" w14:paraId="7C8EEC72" w14:textId="77777777">
            <w:pPr>
              <w:numPr>
                <w:ilvl w:val="0"/>
                <w:numId w:val="13"/>
              </w:numPr>
              <w:spacing w:before="120"/>
              <w:ind w:left="33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Організація безпосереднього протиповітряного прикриття силами ЗСУ, НГУ</w:t>
            </w:r>
          </w:p>
        </w:tc>
        <w:tc>
          <w:tcPr>
            <w:tcW w:w="5244" w:type="dxa"/>
          </w:tcPr>
          <w:p w:rsidR="007A5DFF" w:rsidRPr="00C815FC" w:rsidP="007A5DFF" w14:paraId="1211D42B" w14:textId="77777777">
            <w:pPr>
              <w:numPr>
                <w:ilvl w:val="0"/>
                <w:numId w:val="10"/>
              </w:numPr>
              <w:ind w:left="-108" w:firstLine="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фактичного стану забезпеченості мобільних вогневих груп ППО;</w:t>
            </w:r>
          </w:p>
          <w:p w:rsidR="007A5DFF" w:rsidRPr="00C815FC" w:rsidP="007A5DFF" w14:paraId="510527BF" w14:textId="77777777">
            <w:pPr>
              <w:numPr>
                <w:ilvl w:val="0"/>
                <w:numId w:val="10"/>
              </w:numPr>
              <w:ind w:left="-108" w:firstLine="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додатковому обладнанні;</w:t>
            </w:r>
          </w:p>
          <w:p w:rsidR="007A5DFF" w:rsidRPr="00C815FC" w:rsidP="007A5DFF" w14:paraId="4DD2B815" w14:textId="77777777">
            <w:pPr>
              <w:numPr>
                <w:ilvl w:val="0"/>
                <w:numId w:val="10"/>
              </w:numPr>
              <w:ind w:left="-108" w:firstLine="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оснащення мобільних вогневих груп ППО додатковим обладнанням.</w:t>
            </w:r>
          </w:p>
        </w:tc>
        <w:tc>
          <w:tcPr>
            <w:tcW w:w="1276" w:type="dxa"/>
          </w:tcPr>
          <w:p w:rsidR="007A5DFF" w:rsidRPr="00C815FC" w:rsidP="004A4AFC" w14:paraId="27ECD479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ороку </w:t>
            </w:r>
          </w:p>
        </w:tc>
        <w:tc>
          <w:tcPr>
            <w:tcW w:w="1984" w:type="dxa"/>
          </w:tcPr>
          <w:p w:rsidR="007A5DFF" w:rsidRPr="00C815FC" w:rsidP="004A4AFC" w14:paraId="439FED70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Броварська районна державна адміністрація (Броварська районна військова адміністрація) Київської області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6964C677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Згідно з пунктом 24 частини першої статті 25 Закону України «Про місцеві державні адміністрації» </w:t>
            </w:r>
          </w:p>
        </w:tc>
        <w:tc>
          <w:tcPr>
            <w:tcW w:w="993" w:type="dxa"/>
          </w:tcPr>
          <w:p w:rsidR="007A5DFF" w:rsidRPr="00C815FC" w:rsidP="004A4AFC" w14:paraId="5A1EA8D5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D62181B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5D711AD7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571F8CC9" w14:textId="77777777">
            <w:pPr>
              <w:numPr>
                <w:ilvl w:val="0"/>
                <w:numId w:val="13"/>
              </w:numPr>
              <w:spacing w:before="120"/>
              <w:ind w:left="33" w:hanging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фізичного захисту об’єктів</w:t>
            </w:r>
          </w:p>
        </w:tc>
        <w:tc>
          <w:tcPr>
            <w:tcW w:w="5244" w:type="dxa"/>
          </w:tcPr>
          <w:p w:rsidR="007A5DFF" w:rsidRPr="00C815FC" w:rsidP="007A5DFF" w14:paraId="7068DD53" w14:textId="77777777">
            <w:pPr>
              <w:numPr>
                <w:ilvl w:val="0"/>
                <w:numId w:val="19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наявності та стану наземної охорони та оборони об’єктів;</w:t>
            </w:r>
          </w:p>
          <w:p w:rsidR="007A5DFF" w:rsidRPr="00C815FC" w:rsidP="007A5DFF" w14:paraId="01FF9EFC" w14:textId="77777777">
            <w:pPr>
              <w:numPr>
                <w:ilvl w:val="0"/>
                <w:numId w:val="19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силах охорони та оборони об’єктів;</w:t>
            </w:r>
          </w:p>
          <w:p w:rsidR="007A5DFF" w:rsidRPr="00C815FC" w:rsidP="007A5DFF" w14:paraId="4682D754" w14:textId="77777777">
            <w:pPr>
              <w:numPr>
                <w:ilvl w:val="0"/>
                <w:numId w:val="19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Організація наземної охорони та оборони силами НПУ, НГУ, ВОХОР, ЗСУ;</w:t>
            </w:r>
          </w:p>
          <w:p w:rsidR="007A5DFF" w:rsidRPr="00C815FC" w:rsidP="007A5DFF" w14:paraId="248B8AAF" w14:textId="77777777">
            <w:pPr>
              <w:numPr>
                <w:ilvl w:val="0"/>
                <w:numId w:val="19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Організація цілодобової охорони об’єктів;</w:t>
            </w:r>
          </w:p>
          <w:p w:rsidR="007A5DFF" w:rsidRPr="00C815FC" w:rsidP="007A5DFF" w14:paraId="18542BE6" w14:textId="77777777">
            <w:pPr>
              <w:numPr>
                <w:ilvl w:val="0"/>
                <w:numId w:val="19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Визначення стану комплексної системи безпеки (відеоспостереження, сигналізація тощо);</w:t>
            </w:r>
          </w:p>
          <w:p w:rsidR="007A5DFF" w:rsidRPr="00C815FC" w:rsidP="007A5DFF" w14:paraId="7024E59A" w14:textId="77777777">
            <w:pPr>
              <w:numPr>
                <w:ilvl w:val="0"/>
                <w:numId w:val="19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Визначення стану забезпеченості мобільних вогневих груп необхідним обладнанням; </w:t>
            </w:r>
          </w:p>
          <w:p w:rsidR="007A5DFF" w:rsidRPr="00C815FC" w:rsidP="007A5DFF" w14:paraId="528936FC" w14:textId="77777777">
            <w:pPr>
              <w:numPr>
                <w:ilvl w:val="0"/>
                <w:numId w:val="19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Формування потреби у додатковому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обладнанні для мобільних вогневих груп та матеріалів, необхідних для ремонту/створення комплексної системи безпеки;</w:t>
            </w:r>
          </w:p>
          <w:p w:rsidR="007A5DFF" w:rsidRPr="00C815FC" w:rsidP="007A5DFF" w14:paraId="750F4D11" w14:textId="77777777">
            <w:pPr>
              <w:numPr>
                <w:ilvl w:val="0"/>
                <w:numId w:val="19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Закупівля та оснащення мобільних вогневих груп додатковим обладнанням;</w:t>
            </w:r>
          </w:p>
          <w:p w:rsidR="007A5DFF" w:rsidRPr="00C815FC" w:rsidP="007A5DFF" w14:paraId="670C781D" w14:textId="77777777">
            <w:pPr>
              <w:numPr>
                <w:ilvl w:val="0"/>
                <w:numId w:val="19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Закупівля та оснащення об’єктів комплексною системою безпеки.</w:t>
            </w:r>
          </w:p>
        </w:tc>
        <w:tc>
          <w:tcPr>
            <w:tcW w:w="1276" w:type="dxa"/>
          </w:tcPr>
          <w:p w:rsidR="007A5DFF" w:rsidRPr="00C815FC" w:rsidP="004A4AFC" w14:paraId="6468E2F3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Постійно </w:t>
            </w:r>
          </w:p>
        </w:tc>
        <w:tc>
          <w:tcPr>
            <w:tcW w:w="1984" w:type="dxa"/>
          </w:tcPr>
          <w:p w:rsidR="007A5DFF" w:rsidRPr="00C815FC" w:rsidP="004A4AFC" w14:paraId="26D76C21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ПрАТ «ДТЕК Київські регіональні електромережі» Броварський РП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315BFE63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7A5DFF" w:rsidRPr="00C815FC" w:rsidP="004A4AFC" w14:paraId="313AF1FC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1A7F6B5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77438930" w14:textId="77777777">
            <w:pPr>
              <w:spacing w:before="12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74F2FE48" w14:textId="77777777">
            <w:pPr>
              <w:numPr>
                <w:ilvl w:val="0"/>
                <w:numId w:val="13"/>
              </w:numPr>
              <w:spacing w:before="120"/>
              <w:ind w:left="33" w:hanging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інженерного захисту критичних елементів на об’єктах</w:t>
            </w:r>
          </w:p>
        </w:tc>
        <w:tc>
          <w:tcPr>
            <w:tcW w:w="5244" w:type="dxa"/>
          </w:tcPr>
          <w:p w:rsidR="007A5DFF" w:rsidRPr="00C815FC" w:rsidP="004A4AFC" w14:paraId="2911F623" w14:textId="77777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3.1 Визначення стану захищеності об’єктів інженерними засобами захисту;</w:t>
            </w:r>
          </w:p>
          <w:p w:rsidR="007A5DFF" w:rsidRPr="00C815FC" w:rsidP="004A4AFC" w14:paraId="311C586F" w14:textId="77777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3.2 Формування потреби у засобах інженерного захисту;</w:t>
            </w:r>
          </w:p>
          <w:p w:rsidR="007A5DFF" w:rsidRPr="00C815FC" w:rsidP="004A4AFC" w14:paraId="27796B40" w14:textId="77777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3.3 Закупівля необхідних засобів та матеріалів;</w:t>
            </w:r>
          </w:p>
          <w:p w:rsidR="007A5DFF" w:rsidRPr="00C815FC" w:rsidP="004A4AFC" w14:paraId="78143051" w14:textId="77777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3.4 Оснащення об’єктів інженерними засобами захисту:</w:t>
            </w:r>
          </w:p>
          <w:p w:rsidR="007A5DFF" w:rsidRPr="00C815FC" w:rsidP="004A4AFC" w14:paraId="398E8ADD" w14:textId="77777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3.4.1. Облаштування силових трансформаторів біг-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бегами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 накритими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агроволокном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 та бетонними блоками;</w:t>
            </w:r>
          </w:p>
          <w:p w:rsidR="007A5DFF" w:rsidRPr="00C815FC" w:rsidP="004A4AFC" w14:paraId="2C720871" w14:textId="77777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3.4.2. Облаштування трансформаторів Підстан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цій біг-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бегами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 та/або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габіонами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.</w:t>
            </w:r>
          </w:p>
        </w:tc>
        <w:tc>
          <w:tcPr>
            <w:tcW w:w="1276" w:type="dxa"/>
          </w:tcPr>
          <w:p w:rsidR="007A5DFF" w:rsidRPr="00C815FC" w:rsidP="004A4AFC" w14:paraId="2DBAADD2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Постійно </w:t>
            </w:r>
          </w:p>
        </w:tc>
        <w:tc>
          <w:tcPr>
            <w:tcW w:w="1984" w:type="dxa"/>
          </w:tcPr>
          <w:p w:rsidR="007A5DFF" w:rsidRPr="00C815FC" w:rsidP="004A4AFC" w14:paraId="6DAB11CD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ПрАТ «ДТЕК Київські регіональні електромережі» Броварський РП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56D6CE5F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7A5DFF" w:rsidRPr="00C815FC" w:rsidP="004A4AFC" w14:paraId="09B7F7BE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A49BDFB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53B070EB" w14:textId="77777777">
            <w:pPr>
              <w:spacing w:before="12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32E8C841" w14:textId="77777777">
            <w:pPr>
              <w:numPr>
                <w:ilvl w:val="0"/>
                <w:numId w:val="13"/>
              </w:numPr>
              <w:spacing w:before="120"/>
              <w:ind w:left="33" w:hanging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цивільного захисту об’єктів</w:t>
            </w:r>
          </w:p>
        </w:tc>
        <w:tc>
          <w:tcPr>
            <w:tcW w:w="5244" w:type="dxa"/>
          </w:tcPr>
          <w:p w:rsidR="007A5DFF" w:rsidRPr="00C815FC" w:rsidP="004A4AFC" w14:paraId="27573A22" w14:textId="77777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4.1 Перевірка наявності та стану укриттів на об’єктах;</w:t>
            </w:r>
          </w:p>
          <w:p w:rsidR="007A5DFF" w:rsidRPr="00C815FC" w:rsidP="004A4AFC" w14:paraId="585DFFFE" w14:textId="77777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4.2 Перевірка систем оповіщення;</w:t>
            </w:r>
          </w:p>
          <w:p w:rsidR="007A5DFF" w:rsidRPr="00C815FC" w:rsidP="004A4AFC" w14:paraId="2932A4B7" w14:textId="77777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4.3 Формування потреби у матеріалах, необхідних для забезпечення цивільного захисту об’єктів;</w:t>
            </w:r>
          </w:p>
          <w:p w:rsidR="007A5DFF" w:rsidRPr="00C815FC" w:rsidP="004A4AFC" w14:paraId="16E5DA79" w14:textId="77777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4.4 Оснащення наявних укриттів;</w:t>
            </w:r>
          </w:p>
          <w:p w:rsidR="007A5DFF" w:rsidRPr="00C815FC" w:rsidP="004A4AFC" w14:paraId="0AFB0D35" w14:textId="77777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4.5 Ремонт наявних систем оповіщення та/або ремонт пошкоджених;</w:t>
            </w:r>
          </w:p>
          <w:p w:rsidR="007A5DFF" w:rsidRPr="00C815FC" w:rsidP="004A4AFC" w14:paraId="5C365509" w14:textId="77777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4.6 Проведення навчання персоналу щодо надання першої медичної допомоги та порядку дій у разі виникнення надзвичайної ситуації;</w:t>
            </w:r>
          </w:p>
        </w:tc>
        <w:tc>
          <w:tcPr>
            <w:tcW w:w="1276" w:type="dxa"/>
          </w:tcPr>
          <w:p w:rsidR="007A5DFF" w:rsidRPr="00C815FC" w:rsidP="004A4AFC" w14:paraId="2B692F9C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Постійно </w:t>
            </w:r>
          </w:p>
        </w:tc>
        <w:tc>
          <w:tcPr>
            <w:tcW w:w="1984" w:type="dxa"/>
          </w:tcPr>
          <w:p w:rsidR="007A5DFF" w:rsidRPr="00C815FC" w:rsidP="004A4AFC" w14:paraId="7D543861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ПрАТ «ДТЕК Київські регіональні електромережі» Броварський РП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2303D0BC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7A5DFF" w:rsidRPr="00C815FC" w:rsidP="004A4AFC" w14:paraId="646B7A8F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5F8ACDF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4A0A0D97" w14:textId="77777777">
            <w:pPr>
              <w:spacing w:before="12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7EB837AA" w14:textId="77777777">
            <w:pPr>
              <w:numPr>
                <w:ilvl w:val="0"/>
                <w:numId w:val="13"/>
              </w:numPr>
              <w:spacing w:before="120"/>
              <w:ind w:left="33" w:hanging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Планування аварійного електропостачання</w:t>
            </w:r>
          </w:p>
        </w:tc>
        <w:tc>
          <w:tcPr>
            <w:tcW w:w="5244" w:type="dxa"/>
          </w:tcPr>
          <w:p w:rsidR="007A5DFF" w:rsidRPr="00C815FC" w:rsidP="007A5DFF" w14:paraId="7C3C5E7A" w14:textId="7777777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Перевірка наявності Планів аварійного перемикання на інше джерело електропостачання;</w:t>
            </w:r>
          </w:p>
          <w:p w:rsidR="007A5DFF" w:rsidRPr="00C815FC" w:rsidP="007A5DFF" w14:paraId="330179EA" w14:textId="77777777">
            <w:pPr>
              <w:numPr>
                <w:ilvl w:val="0"/>
                <w:numId w:val="20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Порядку дій та взаємодії персоналу підприємств (об'єктів), аварійно-рятувальних спец-підрозділів, що обслуговують об'єкт;</w:t>
            </w:r>
          </w:p>
          <w:p w:rsidR="007A5DFF" w:rsidRPr="00C815FC" w:rsidP="007A5DFF" w14:paraId="5AAEC8C5" w14:textId="7777777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Перевірка наявності альтернативних джерел живлення критичного обладнання;</w:t>
            </w:r>
          </w:p>
          <w:p w:rsidR="007A5DFF" w:rsidRPr="00C815FC" w:rsidP="007A5DFF" w14:paraId="7E590155" w14:textId="7777777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Збільшення спроможності щодо зберігання палива, щоб забезпечити роботу енергетичного сектору під час кризових ситуацій;</w:t>
            </w:r>
          </w:p>
          <w:p w:rsidR="007A5DFF" w:rsidRPr="00C815FC" w:rsidP="007A5DFF" w14:paraId="37951CEE" w14:textId="7777777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 наявності систем зберігання енергії;</w:t>
            </w:r>
          </w:p>
          <w:p w:rsidR="007A5DFF" w:rsidRPr="00C815FC" w:rsidP="007A5DFF" w14:paraId="6E83A475" w14:textId="7777777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Диверсифікувати джерела енергії (забезпечити можливість використання вітрової, сонячної енергії);</w:t>
            </w:r>
          </w:p>
          <w:p w:rsidR="007A5DFF" w:rsidRPr="00C815FC" w:rsidP="007A5DFF" w14:paraId="4B492014" w14:textId="7777777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 потреби для здійснення вищеперерахованих заходів;</w:t>
            </w:r>
          </w:p>
          <w:p w:rsidR="007A5DFF" w:rsidRPr="00C815FC" w:rsidP="007A5DFF" w14:paraId="4F60779B" w14:textId="77777777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Закупівля та забезпеченн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об’єктів необхідними засобами.</w:t>
            </w:r>
          </w:p>
        </w:tc>
        <w:tc>
          <w:tcPr>
            <w:tcW w:w="1276" w:type="dxa"/>
          </w:tcPr>
          <w:p w:rsidR="007A5DFF" w:rsidRPr="00C815FC" w:rsidP="004A4AFC" w14:paraId="42D95511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Постійно </w:t>
            </w:r>
          </w:p>
        </w:tc>
        <w:tc>
          <w:tcPr>
            <w:tcW w:w="1984" w:type="dxa"/>
          </w:tcPr>
          <w:p w:rsidR="007A5DFF" w:rsidRPr="00C815FC" w:rsidP="004A4AFC" w14:paraId="26A14C43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ПрАТ «ДТЕК Київські регіональні електромережі» Броварський РП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14F76D13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7A5DFF" w:rsidRPr="00C815FC" w:rsidP="004A4AFC" w14:paraId="7320375C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EC3DE2B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200CC8F2" w14:textId="77777777">
            <w:pPr>
              <w:spacing w:before="12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2585AEE7" w14:textId="77777777">
            <w:pPr>
              <w:numPr>
                <w:ilvl w:val="0"/>
                <w:numId w:val="13"/>
              </w:numPr>
              <w:spacing w:before="120"/>
              <w:ind w:left="33" w:hanging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Підвищити рівень безпеки постачання електроенергії</w:t>
            </w:r>
          </w:p>
        </w:tc>
        <w:tc>
          <w:tcPr>
            <w:tcW w:w="5244" w:type="dxa"/>
          </w:tcPr>
          <w:p w:rsidR="007A5DFF" w:rsidRPr="00C815FC" w:rsidP="007A5DFF" w14:paraId="1493963C" w14:textId="77777777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Визначення стану обладнання на об’єктах;</w:t>
            </w:r>
          </w:p>
          <w:p w:rsidR="007A5DFF" w:rsidRPr="00C815FC" w:rsidP="007A5DFF" w14:paraId="7CF725C1" w14:textId="77777777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Перевірка можливості модернізації обладнання;</w:t>
            </w:r>
          </w:p>
          <w:p w:rsidR="007A5DFF" w:rsidRPr="00C815FC" w:rsidP="007A5DFF" w14:paraId="30705287" w14:textId="77777777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 потреби в обладнанні та складових частин уже наявного обладнання;</w:t>
            </w:r>
          </w:p>
          <w:p w:rsidR="007A5DFF" w:rsidRPr="00C815FC" w:rsidP="007A5DFF" w14:paraId="601AD0CB" w14:textId="77777777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Закупівля необхідного обладнання та його компонентів;</w:t>
            </w:r>
          </w:p>
          <w:p w:rsidR="007A5DFF" w:rsidRPr="00C815FC" w:rsidP="007A5DFF" w14:paraId="7FC8EE15" w14:textId="77777777">
            <w:pPr>
              <w:numPr>
                <w:ilvl w:val="0"/>
                <w:numId w:val="14"/>
              </w:numPr>
              <w:spacing w:line="259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Створення резервів пересувних (авто) трансформаторів, розподільних пристроїв,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накопичувачів енергії (акумуляторів), пересувних електростанцій (у тому числі парогазових);</w:t>
            </w:r>
          </w:p>
          <w:p w:rsidR="007A5DFF" w:rsidRPr="00C815FC" w:rsidP="007A5DFF" w14:paraId="5A62A2E0" w14:textId="77777777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Модернізація наявного силового електротехнічного обладнання;</w:t>
            </w:r>
          </w:p>
          <w:p w:rsidR="007A5DFF" w:rsidRPr="00C815FC" w:rsidP="007A5DFF" w14:paraId="150F3FF9" w14:textId="77777777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Модернізація систем розподілення енергії;</w:t>
            </w:r>
          </w:p>
          <w:p w:rsidR="007A5DFF" w:rsidRPr="00C815FC" w:rsidP="007A5DFF" w14:paraId="0515E9B6" w14:textId="77777777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Створення або підключення об’єктів до існуючих Центрів реагування на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кіберінциденти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:rsidR="007A5DFF" w:rsidRPr="00C815FC" w:rsidP="007A5DFF" w14:paraId="34B38BB6" w14:textId="77777777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Забезпечення об’єктів обладнанням для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кіберзахисту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:rsidR="007A5DFF" w:rsidRPr="00C815FC" w:rsidP="007A5DFF" w14:paraId="67039F7B" w14:textId="77777777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Інші.</w:t>
            </w:r>
          </w:p>
        </w:tc>
        <w:tc>
          <w:tcPr>
            <w:tcW w:w="1276" w:type="dxa"/>
          </w:tcPr>
          <w:p w:rsidR="007A5DFF" w:rsidRPr="00C815FC" w:rsidP="004A4AFC" w14:paraId="110A0DC6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Постійно </w:t>
            </w:r>
          </w:p>
        </w:tc>
        <w:tc>
          <w:tcPr>
            <w:tcW w:w="1984" w:type="dxa"/>
          </w:tcPr>
          <w:p w:rsidR="007A5DFF" w:rsidRPr="00C815FC" w:rsidP="004A4AFC" w14:paraId="49BF2179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ПрАТ «ДТЕК Київські регіональні електромережі» Броварський РП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4473EFCE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7A5DFF" w:rsidRPr="00C815FC" w:rsidP="004A4AFC" w14:paraId="2EC38B4D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BD60B2D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</w:tcPr>
          <w:p w:rsidR="007A5DFF" w:rsidRPr="00C815FC" w:rsidP="004A4AFC" w14:paraId="5B2EDF40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Заходи з реагування</w:t>
            </w:r>
          </w:p>
        </w:tc>
        <w:tc>
          <w:tcPr>
            <w:tcW w:w="2381" w:type="dxa"/>
          </w:tcPr>
          <w:p w:rsidR="007A5DFF" w:rsidRPr="00C815FC" w:rsidP="007A5DFF" w14:paraId="30378CF7" w14:textId="77777777">
            <w:pPr>
              <w:numPr>
                <w:ilvl w:val="0"/>
                <w:numId w:val="15"/>
              </w:numPr>
              <w:spacing w:before="120"/>
              <w:ind w:left="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Визначення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спроможностей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 для реагування</w:t>
            </w:r>
          </w:p>
        </w:tc>
        <w:tc>
          <w:tcPr>
            <w:tcW w:w="5244" w:type="dxa"/>
          </w:tcPr>
          <w:p w:rsidR="007A5DFF" w:rsidRPr="00C815FC" w:rsidP="004A4AFC" w14:paraId="5E27BD17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1.1.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Визначення вимог до структури, чисельності особового складу військових формувань та правоохоронних органів, необхідних для реагування;</w:t>
            </w:r>
          </w:p>
          <w:p w:rsidR="007A5DFF" w:rsidRPr="00C815FC" w:rsidP="004A4AFC" w14:paraId="358E01A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1.2.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  <w:t xml:space="preserve">Визначення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кількісних та якісних показників озброєння та військової (спеціальної) техніки, інших видів матеріально-технічного забезпечення, військової (спеціальної) інфраструктури;</w:t>
            </w:r>
          </w:p>
          <w:p w:rsidR="007A5DFF" w:rsidRPr="00C815FC" w:rsidP="004A4AFC" w14:paraId="23E17B5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1.3.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потреби в засобах та силах, необхідних для реагування;</w:t>
            </w:r>
          </w:p>
          <w:p w:rsidR="007A5DFF" w:rsidRPr="00C815FC" w:rsidP="004A4AFC" w14:paraId="1C46A4F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1.4.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плану взаємодії із сусідніми громадами для заповнення потреби при реагуванні;</w:t>
            </w:r>
          </w:p>
          <w:p w:rsidR="007A5DFF" w:rsidRPr="00C815FC" w:rsidP="004A4AFC" w14:paraId="5D34173C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1.5.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Реагування на кризові ситуації за Протоколами реагування функціональних органів.</w:t>
            </w:r>
          </w:p>
        </w:tc>
        <w:tc>
          <w:tcPr>
            <w:tcW w:w="1276" w:type="dxa"/>
          </w:tcPr>
          <w:p w:rsidR="007A5DFF" w:rsidRPr="00C815FC" w:rsidP="004A4AFC" w14:paraId="326C41C6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ороку </w:t>
            </w:r>
          </w:p>
        </w:tc>
        <w:tc>
          <w:tcPr>
            <w:tcW w:w="1984" w:type="dxa"/>
          </w:tcPr>
          <w:p w:rsidR="007A5DFF" w:rsidRPr="00C815FC" w:rsidP="004A4AFC" w14:paraId="7E240EC2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Броварська районна державна адміністрація (Броварська районна військова адміністрація) Київської області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485733C5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Згідно з пунктом 24 частини першої статті 25 Закону України «Про місцеві державні адміністрації» </w:t>
            </w:r>
          </w:p>
        </w:tc>
        <w:tc>
          <w:tcPr>
            <w:tcW w:w="993" w:type="dxa"/>
          </w:tcPr>
          <w:p w:rsidR="007A5DFF" w:rsidRPr="00C815FC" w:rsidP="004A4AFC" w14:paraId="5469D9D1" w14:textId="77777777">
            <w:pPr>
              <w:spacing w:before="12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78DAB77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5D77BEE6" w14:textId="77777777">
            <w:pPr>
              <w:spacing w:before="12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55E359A4" w14:textId="77777777">
            <w:pPr>
              <w:numPr>
                <w:ilvl w:val="0"/>
                <w:numId w:val="15"/>
              </w:numPr>
              <w:spacing w:before="120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Забезпечення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можливості евакуації</w:t>
            </w:r>
          </w:p>
        </w:tc>
        <w:tc>
          <w:tcPr>
            <w:tcW w:w="5244" w:type="dxa"/>
          </w:tcPr>
          <w:p w:rsidR="007A5DFF" w:rsidRPr="00C815FC" w:rsidP="004A4AFC" w14:paraId="0DF2CB7D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2.1.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Визначити порядок дій при евакуації персоналу;</w:t>
            </w:r>
          </w:p>
          <w:p w:rsidR="007A5DFF" w:rsidRPr="00C815FC" w:rsidP="004A4AFC" w14:paraId="367524E5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2.2.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Перевірити наявність ресурсів для здійснення евакуації персоналу (автобуси, човни тощо);</w:t>
            </w:r>
          </w:p>
          <w:p w:rsidR="007A5DFF" w:rsidRPr="00C815FC" w:rsidP="004A4AFC" w14:paraId="47153EA8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2.3.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Перевірити наявність житла для евакуйованого персоналу;</w:t>
            </w:r>
          </w:p>
          <w:p w:rsidR="007A5DFF" w:rsidRPr="00C815FC" w:rsidP="004A4AFC" w14:paraId="1511883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2.4.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Забезпечення евакуйованого персоналу водою, продовольством та житлом.</w:t>
            </w:r>
          </w:p>
        </w:tc>
        <w:tc>
          <w:tcPr>
            <w:tcW w:w="1276" w:type="dxa"/>
          </w:tcPr>
          <w:p w:rsidR="007A5DFF" w:rsidRPr="00C815FC" w:rsidP="004A4AFC" w14:paraId="5CA3E0B3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49"/>
            </w:tblGrid>
            <w:tr w14:paraId="38E4C763" w14:textId="77777777" w:rsidTr="004A4AFC">
              <w:tblPrEx>
                <w:tblW w:w="0" w:type="auto"/>
                <w:tblBorders>
                  <w:top w:val="nil"/>
                  <w:left w:val="nil"/>
                  <w:bottom w:val="nil"/>
                  <w:right w:val="nil"/>
                </w:tblBorders>
                <w:tblLayout w:type="fixed"/>
                <w:tblLook w:val="0000"/>
              </w:tblPrEx>
              <w:trPr>
                <w:trHeight w:val="322"/>
              </w:trPr>
              <w:tc>
                <w:tcPr>
                  <w:tcW w:w="1249" w:type="dxa"/>
                </w:tcPr>
                <w:p w:rsidR="007A5DFF" w:rsidRPr="00C815FC" w:rsidP="004A4AFC" w14:paraId="15F025BF" w14:textId="777777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C815FC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 xml:space="preserve">Комісія з евакуації </w:t>
                  </w:r>
                  <w:r w:rsidRPr="00C815FC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 xml:space="preserve">міської ради </w:t>
                  </w:r>
                </w:p>
              </w:tc>
            </w:tr>
          </w:tbl>
          <w:p w:rsidR="007A5DFF" w:rsidRPr="00C815FC" w:rsidP="004A4AFC" w14:paraId="3BC1E0E1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7A5DFF" w:rsidRPr="00C815FC" w:rsidP="004A4AFC" w14:paraId="17DCEF42" w14:textId="7777777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розробленого плану евакуації населення, матеріальних і культурних цінностей Броварської територіальної громади у разі загрози або виникнення НС</w:t>
            </w:r>
          </w:p>
        </w:tc>
        <w:tc>
          <w:tcPr>
            <w:tcW w:w="993" w:type="dxa"/>
          </w:tcPr>
          <w:p w:rsidR="007A5DFF" w:rsidRPr="00C815FC" w:rsidP="004A4AFC" w14:paraId="11D37073" w14:textId="77777777">
            <w:pPr>
              <w:spacing w:before="12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4CF6FE7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10F7DD35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Заходи з відновлення</w:t>
            </w:r>
          </w:p>
        </w:tc>
        <w:tc>
          <w:tcPr>
            <w:tcW w:w="2381" w:type="dxa"/>
          </w:tcPr>
          <w:p w:rsidR="007A5DFF" w:rsidRPr="00C815FC" w:rsidP="007A5DFF" w14:paraId="0FEE002A" w14:textId="77777777">
            <w:pPr>
              <w:numPr>
                <w:ilvl w:val="0"/>
                <w:numId w:val="16"/>
              </w:numPr>
              <w:spacing w:before="120"/>
              <w:ind w:left="33" w:hanging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Забезпечити можливість відновлення електромережі без зовнішнього живлення</w:t>
            </w:r>
          </w:p>
        </w:tc>
        <w:tc>
          <w:tcPr>
            <w:tcW w:w="5244" w:type="dxa"/>
          </w:tcPr>
          <w:p w:rsidR="007A5DFF" w:rsidRPr="00C815FC" w:rsidP="007A5DFF" w14:paraId="388910CB" w14:textId="77777777">
            <w:pPr>
              <w:numPr>
                <w:ilvl w:val="1"/>
                <w:numId w:val="17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Перевірка наявності генеруючих установок, які можуть перезапускатися без стороннього живлення та без підключення до потужності;</w:t>
            </w:r>
          </w:p>
          <w:p w:rsidR="007A5DFF" w:rsidRPr="00C815FC" w:rsidP="007A5DFF" w14:paraId="7D5604CC" w14:textId="77777777">
            <w:pPr>
              <w:numPr>
                <w:ilvl w:val="1"/>
                <w:numId w:val="17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потреби;</w:t>
            </w:r>
          </w:p>
          <w:p w:rsidR="007A5DFF" w:rsidRPr="00C815FC" w:rsidP="007A5DFF" w14:paraId="68030A22" w14:textId="77777777">
            <w:pPr>
              <w:numPr>
                <w:ilvl w:val="1"/>
                <w:numId w:val="17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Закупівля та забезпечення об’єктів генеруючими установками, які можуть перезапускатися без стороннього живлення та без підключення до потужності.</w:t>
            </w:r>
          </w:p>
        </w:tc>
        <w:tc>
          <w:tcPr>
            <w:tcW w:w="1276" w:type="dxa"/>
          </w:tcPr>
          <w:p w:rsidR="007A5DFF" w:rsidRPr="00C815FC" w:rsidP="004A4AFC" w14:paraId="57A8964A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Постійно </w:t>
            </w:r>
          </w:p>
        </w:tc>
        <w:tc>
          <w:tcPr>
            <w:tcW w:w="1984" w:type="dxa"/>
          </w:tcPr>
          <w:p w:rsidR="007A5DFF" w:rsidRPr="00C815FC" w:rsidP="004A4AFC" w14:paraId="799A69D9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ПрАТ «ДТЕК Київські регіональні електромережі» Броварський РП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33DBA949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7A5DFF" w:rsidRPr="00C815FC" w:rsidP="004A4AFC" w14:paraId="0CFA2E50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A40A4D7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5504DDA3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36B7A5A2" w14:textId="77777777">
            <w:pPr>
              <w:numPr>
                <w:ilvl w:val="0"/>
                <w:numId w:val="17"/>
              </w:numPr>
              <w:spacing w:before="120"/>
              <w:ind w:left="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Забезпечити можливість здійснення ремонту у найкоротші терміни</w:t>
            </w:r>
          </w:p>
        </w:tc>
        <w:tc>
          <w:tcPr>
            <w:tcW w:w="5244" w:type="dxa"/>
          </w:tcPr>
          <w:p w:rsidR="007A5DFF" w:rsidRPr="00C815FC" w:rsidP="007A5DFF" w14:paraId="3E5A1583" w14:textId="77777777">
            <w:pPr>
              <w:numPr>
                <w:ilvl w:val="0"/>
                <w:numId w:val="18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Перевірка наявності готових запасних частин, матеріалів і засобів доставки;</w:t>
            </w:r>
          </w:p>
          <w:p w:rsidR="007A5DFF" w:rsidRPr="00C815FC" w:rsidP="007A5DFF" w14:paraId="20F81E61" w14:textId="77777777">
            <w:pPr>
              <w:numPr>
                <w:ilvl w:val="0"/>
                <w:numId w:val="18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 потреби в готових запасних частинах, матеріалах і засобах доставки, необхідних для якнайшвидшого відновлення об’єктів;</w:t>
            </w:r>
          </w:p>
          <w:p w:rsidR="007A5DFF" w:rsidRPr="00C815FC" w:rsidP="007A5DFF" w14:paraId="69B23645" w14:textId="77777777">
            <w:pPr>
              <w:numPr>
                <w:ilvl w:val="0"/>
                <w:numId w:val="18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Закупівля та забезпечення об’єктів готовими запасними частинами, матеріалами і засобами доставки;</w:t>
            </w:r>
          </w:p>
          <w:p w:rsidR="007A5DFF" w:rsidRPr="00C815FC" w:rsidP="007A5DFF" w14:paraId="74D8D665" w14:textId="77777777">
            <w:pPr>
              <w:numPr>
                <w:ilvl w:val="0"/>
                <w:numId w:val="18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Застосування резервів для якнайшвидшого відновлення об’єктів та надання послуги енергозабезпечення.</w:t>
            </w:r>
          </w:p>
        </w:tc>
        <w:tc>
          <w:tcPr>
            <w:tcW w:w="1276" w:type="dxa"/>
          </w:tcPr>
          <w:p w:rsidR="007A5DFF" w:rsidRPr="00C815FC" w:rsidP="004A4AFC" w14:paraId="3DA5DF05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Постійно </w:t>
            </w:r>
          </w:p>
        </w:tc>
        <w:tc>
          <w:tcPr>
            <w:tcW w:w="1984" w:type="dxa"/>
          </w:tcPr>
          <w:p w:rsidR="007A5DFF" w:rsidRPr="00C815FC" w:rsidP="004A4AFC" w14:paraId="1F69A640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ПрАТ «ДТЕК Київські регіональні електромережі» Броварський РП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331B9A27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7A5DFF" w:rsidRPr="00C815FC" w:rsidP="004A4AFC" w14:paraId="44F586C9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67ED08F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301" w:type="dxa"/>
            <w:gridSpan w:val="8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3D007B16" w14:textId="77777777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ПОСЛУГА ТЕПЛОПОСТАЧАННЯ </w:t>
            </w:r>
          </w:p>
        </w:tc>
      </w:tr>
      <w:tr w14:paraId="48C85558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301" w:type="dxa"/>
            <w:gridSpan w:val="8"/>
            <w:shd w:val="clear" w:color="auto" w:fill="DBE5F1" w:themeFill="accent1" w:themeFillTint="33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5A13E86C" w14:textId="77777777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Перелік об’єктів, які забезпечують життєдіяльність: Всього 5</w:t>
            </w:r>
            <w:r w:rsidRPr="00C8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  <w:r w:rsidRPr="00C8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котелень</w:t>
            </w:r>
            <w:r w:rsidRPr="00C8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(БТВЕ 22; Ф-Транс 10; інші 1</w:t>
            </w:r>
            <w:r w:rsidRPr="00C8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</w:t>
            </w:r>
            <w:r w:rsidRPr="00C8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; ОСББ 7)</w:t>
            </w:r>
          </w:p>
        </w:tc>
      </w:tr>
      <w:tr w14:paraId="4E7865FB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487EF034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Превентивні заходи</w:t>
            </w:r>
          </w:p>
        </w:tc>
        <w:tc>
          <w:tcPr>
            <w:tcW w:w="2381" w:type="dxa"/>
          </w:tcPr>
          <w:p w:rsidR="007A5DFF" w:rsidRPr="00C815FC" w:rsidP="007A5DFF" w14:paraId="48D1CF8F" w14:textId="77777777">
            <w:pPr>
              <w:numPr>
                <w:ilvl w:val="0"/>
                <w:numId w:val="9"/>
              </w:numPr>
              <w:spacing w:before="120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Організація безпосереднього протиповітряного прикриття силами ЗСУ, НГУ</w:t>
            </w:r>
          </w:p>
        </w:tc>
        <w:tc>
          <w:tcPr>
            <w:tcW w:w="5244" w:type="dxa"/>
          </w:tcPr>
          <w:p w:rsidR="007A5DFF" w:rsidRPr="00C815FC" w:rsidP="007A5DFF" w14:paraId="34148488" w14:textId="77777777">
            <w:pPr>
              <w:numPr>
                <w:ilvl w:val="0"/>
                <w:numId w:val="21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фактичного стану забезпеченості мобільних вогневих груп ППО;</w:t>
            </w:r>
          </w:p>
          <w:p w:rsidR="007A5DFF" w:rsidRPr="00C815FC" w:rsidP="007A5DFF" w14:paraId="122D183F" w14:textId="77777777">
            <w:pPr>
              <w:numPr>
                <w:ilvl w:val="0"/>
                <w:numId w:val="21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додатковому обладнанні;</w:t>
            </w:r>
          </w:p>
          <w:p w:rsidR="007A5DFF" w:rsidRPr="00C815FC" w:rsidP="007A5DFF" w14:paraId="6707DD42" w14:textId="77777777">
            <w:pPr>
              <w:numPr>
                <w:ilvl w:val="0"/>
                <w:numId w:val="21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оснащення мобільних вогневих груп ППО додатковим обладнанням.</w:t>
            </w:r>
          </w:p>
        </w:tc>
        <w:tc>
          <w:tcPr>
            <w:tcW w:w="1276" w:type="dxa"/>
          </w:tcPr>
          <w:p w:rsidR="007A5DFF" w:rsidRPr="00C815FC" w:rsidP="004A4AFC" w14:paraId="33C02BE8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ороку </w:t>
            </w:r>
          </w:p>
        </w:tc>
        <w:tc>
          <w:tcPr>
            <w:tcW w:w="1984" w:type="dxa"/>
          </w:tcPr>
          <w:p w:rsidR="007A5DFF" w:rsidRPr="00C815FC" w:rsidP="004A4AFC" w14:paraId="6E613194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Броварська районна державна адміністрація (Броварська районна військова адміністрація) Київської області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21B7F3DA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Згідно з пунктом 24 частини першої статті 25 Закону України «Про місцеві державні адміністрації» </w:t>
            </w:r>
          </w:p>
        </w:tc>
        <w:tc>
          <w:tcPr>
            <w:tcW w:w="993" w:type="dxa"/>
          </w:tcPr>
          <w:p w:rsidR="007A5DFF" w:rsidRPr="00C815FC" w:rsidP="004A4AFC" w14:paraId="2912BA0E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3B3A62C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7BED1F2E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52D20F1C" w14:textId="77777777">
            <w:pPr>
              <w:numPr>
                <w:ilvl w:val="0"/>
                <w:numId w:val="9"/>
              </w:numPr>
              <w:spacing w:before="120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фізичного захисту об’єктів</w:t>
            </w:r>
          </w:p>
        </w:tc>
        <w:tc>
          <w:tcPr>
            <w:tcW w:w="5244" w:type="dxa"/>
            <w:vAlign w:val="center"/>
          </w:tcPr>
          <w:p w:rsidR="007A5DFF" w:rsidRPr="00C815FC" w:rsidP="007A5DFF" w14:paraId="5F9A987C" w14:textId="77777777">
            <w:pPr>
              <w:numPr>
                <w:ilvl w:val="0"/>
                <w:numId w:val="22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наявності та стану наземної охорони та оборони об’єктів;</w:t>
            </w:r>
          </w:p>
          <w:p w:rsidR="007A5DFF" w:rsidRPr="00C815FC" w:rsidP="007A5DFF" w14:paraId="48D8BBCA" w14:textId="77777777">
            <w:pPr>
              <w:numPr>
                <w:ilvl w:val="0"/>
                <w:numId w:val="22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силах охорони та оборони об’єктів;</w:t>
            </w:r>
          </w:p>
          <w:p w:rsidR="007A5DFF" w:rsidRPr="00C815FC" w:rsidP="007A5DFF" w14:paraId="3DA9200E" w14:textId="77777777">
            <w:pPr>
              <w:numPr>
                <w:ilvl w:val="0"/>
                <w:numId w:val="22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наземної охорони та оборони силами НПУ, НГУ, ВОХОР, ЗСУ;</w:t>
            </w:r>
          </w:p>
          <w:p w:rsidR="007A5DFF" w:rsidRPr="00C815FC" w:rsidP="007A5DFF" w14:paraId="1C3F939A" w14:textId="77777777">
            <w:pPr>
              <w:numPr>
                <w:ilvl w:val="0"/>
                <w:numId w:val="22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цілодобової охорони об’єктів;</w:t>
            </w:r>
          </w:p>
          <w:p w:rsidR="007A5DFF" w:rsidRPr="00C815FC" w:rsidP="007A5DFF" w14:paraId="4E0E3E9B" w14:textId="77777777">
            <w:pPr>
              <w:numPr>
                <w:ilvl w:val="0"/>
                <w:numId w:val="22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стану комплексної системи безпеки (відеоспостереження, сигналізація тощо);</w:t>
            </w:r>
          </w:p>
          <w:p w:rsidR="007A5DFF" w:rsidRPr="00C815FC" w:rsidP="007A5DFF" w14:paraId="13849AFA" w14:textId="77777777">
            <w:pPr>
              <w:numPr>
                <w:ilvl w:val="0"/>
                <w:numId w:val="22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Визначення стану забезпеченості мобільних вогневих груп необхідним обладнанням; </w:t>
            </w:r>
          </w:p>
          <w:p w:rsidR="007A5DFF" w:rsidRPr="00C815FC" w:rsidP="007A5DFF" w14:paraId="613A140D" w14:textId="77777777">
            <w:pPr>
              <w:numPr>
                <w:ilvl w:val="0"/>
                <w:numId w:val="22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додатковому обладнанні для мобільних вогневих груп та матеріалів, необхідних для ремонту/створення комплексної системи безпеки;</w:t>
            </w:r>
          </w:p>
          <w:p w:rsidR="007A5DFF" w:rsidRPr="00C815FC" w:rsidP="007A5DFF" w14:paraId="0C202F83" w14:textId="77777777">
            <w:pPr>
              <w:numPr>
                <w:ilvl w:val="0"/>
                <w:numId w:val="22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оснащення мобільних вогневих груп додатковим обладнанням;</w:t>
            </w:r>
          </w:p>
          <w:p w:rsidR="007A5DFF" w:rsidRPr="00C815FC" w:rsidP="007A5DFF" w14:paraId="49CB6093" w14:textId="77777777">
            <w:pPr>
              <w:numPr>
                <w:ilvl w:val="0"/>
                <w:numId w:val="22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оснащення об’єктів комплексною системою безпеки.</w:t>
            </w:r>
          </w:p>
        </w:tc>
        <w:tc>
          <w:tcPr>
            <w:tcW w:w="1276" w:type="dxa"/>
          </w:tcPr>
          <w:p w:rsidR="007A5DFF" w:rsidRPr="00C815FC" w:rsidP="004A4AFC" w14:paraId="1A44B2C8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588B7227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Броварська районна державна адміністрація (Броварська районна військова адміністрація) Київської області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78A737A7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Згідно з пунктом 24 частини першої статті 25 Закону України «Про місцеві державні адміністрації»</w:t>
            </w:r>
          </w:p>
        </w:tc>
        <w:tc>
          <w:tcPr>
            <w:tcW w:w="993" w:type="dxa"/>
            <w:vAlign w:val="center"/>
          </w:tcPr>
          <w:p w:rsidR="007A5DFF" w:rsidRPr="00C815FC" w:rsidP="004A4AFC" w14:paraId="420EFAAD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7AA8BCA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2DFAD255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  <w:vAlign w:val="center"/>
          </w:tcPr>
          <w:p w:rsidR="007A5DFF" w:rsidRPr="00C815FC" w:rsidP="007A5DFF" w14:paraId="0A63D362" w14:textId="77777777">
            <w:pPr>
              <w:numPr>
                <w:ilvl w:val="0"/>
                <w:numId w:val="9"/>
              </w:numPr>
              <w:spacing w:before="120"/>
              <w:ind w:left="33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Забезпечення інженерного захисту критичних елементів на об’єктах</w:t>
            </w:r>
          </w:p>
        </w:tc>
        <w:tc>
          <w:tcPr>
            <w:tcW w:w="5244" w:type="dxa"/>
            <w:vAlign w:val="center"/>
          </w:tcPr>
          <w:p w:rsidR="007A5DFF" w:rsidRPr="00C815FC" w:rsidP="007A5DFF" w14:paraId="32B11B89" w14:textId="77777777">
            <w:pPr>
              <w:numPr>
                <w:ilvl w:val="0"/>
                <w:numId w:val="23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Визначення стану захищеності об’єктів інженерними засобами захисту;</w:t>
            </w:r>
          </w:p>
          <w:p w:rsidR="007A5DFF" w:rsidRPr="00C815FC" w:rsidP="007A5DFF" w14:paraId="4F7A34CE" w14:textId="77777777">
            <w:pPr>
              <w:numPr>
                <w:ilvl w:val="0"/>
                <w:numId w:val="23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потреби в засобах інженерного захисту;</w:t>
            </w:r>
          </w:p>
          <w:p w:rsidR="007A5DFF" w:rsidRPr="00C815FC" w:rsidP="007A5DFF" w14:paraId="1E489B1B" w14:textId="77777777">
            <w:pPr>
              <w:numPr>
                <w:ilvl w:val="0"/>
                <w:numId w:val="23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Закупівля необхідних засобів та матеріалів;</w:t>
            </w:r>
          </w:p>
          <w:p w:rsidR="007A5DFF" w:rsidRPr="00C815FC" w:rsidP="007A5DFF" w14:paraId="62730D3C" w14:textId="77777777">
            <w:pPr>
              <w:numPr>
                <w:ilvl w:val="0"/>
                <w:numId w:val="23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Оснащення критичних елементів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об’єктів інженерними засобами захисту.</w:t>
            </w:r>
          </w:p>
        </w:tc>
        <w:tc>
          <w:tcPr>
            <w:tcW w:w="1276" w:type="dxa"/>
            <w:vAlign w:val="center"/>
          </w:tcPr>
          <w:p w:rsidR="007A5DFF" w:rsidRPr="00C815FC" w:rsidP="004A4AFC" w14:paraId="72CF9A00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П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остійно</w:t>
            </w:r>
          </w:p>
        </w:tc>
        <w:tc>
          <w:tcPr>
            <w:tcW w:w="1984" w:type="dxa"/>
            <w:vAlign w:val="center"/>
          </w:tcPr>
          <w:p w:rsidR="007A5DFF" w:rsidRPr="00C815FC" w:rsidP="004A4AFC" w14:paraId="2153DEB9" w14:textId="77777777">
            <w:pPr>
              <w:spacing w:before="120"/>
              <w:ind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ДСНС, КП «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Броваритепловодоенергія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»,КП «Бровари-Благоустрій», балансоутримувачі</w:t>
            </w:r>
          </w:p>
        </w:tc>
        <w:tc>
          <w:tcPr>
            <w:tcW w:w="1871" w:type="dxa"/>
            <w:gridSpan w:val="2"/>
            <w:vAlign w:val="center"/>
          </w:tcPr>
          <w:p w:rsidR="007A5DFF" w:rsidRPr="00C815FC" w:rsidP="004A4AFC" w14:paraId="29942844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Цільові програми</w:t>
            </w:r>
          </w:p>
        </w:tc>
        <w:tc>
          <w:tcPr>
            <w:tcW w:w="993" w:type="dxa"/>
            <w:vAlign w:val="center"/>
          </w:tcPr>
          <w:p w:rsidR="007A5DFF" w:rsidRPr="00C815FC" w:rsidP="004A4AFC" w14:paraId="33D97000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E407372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24C18B6B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300E42D7" w14:textId="77777777">
            <w:pPr>
              <w:numPr>
                <w:ilvl w:val="0"/>
                <w:numId w:val="9"/>
              </w:numPr>
              <w:spacing w:before="120"/>
              <w:ind w:left="33" w:hanging="28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Забезпечення цивільного захисту об’єктів</w:t>
            </w:r>
          </w:p>
        </w:tc>
        <w:tc>
          <w:tcPr>
            <w:tcW w:w="5244" w:type="dxa"/>
            <w:vAlign w:val="center"/>
          </w:tcPr>
          <w:p w:rsidR="007A5DFF" w:rsidRPr="00C815FC" w:rsidP="007A5DFF" w14:paraId="2E270A13" w14:textId="77777777">
            <w:pPr>
              <w:numPr>
                <w:ilvl w:val="0"/>
                <w:numId w:val="24"/>
              </w:numPr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наявності та стану укриттів на об’єктах;</w:t>
            </w:r>
          </w:p>
          <w:p w:rsidR="007A5DFF" w:rsidRPr="00C815FC" w:rsidP="007A5DFF" w14:paraId="2ABA37D2" w14:textId="77777777">
            <w:pPr>
              <w:numPr>
                <w:ilvl w:val="0"/>
                <w:numId w:val="24"/>
              </w:numPr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систем оповіщення;</w:t>
            </w:r>
          </w:p>
          <w:p w:rsidR="007A5DFF" w:rsidRPr="00C815FC" w:rsidP="007A5DFF" w14:paraId="44FC409D" w14:textId="77777777">
            <w:pPr>
              <w:numPr>
                <w:ilvl w:val="0"/>
                <w:numId w:val="24"/>
              </w:numPr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матеріалах, необхідних для забезпечення цивільного захисту об’єктів;</w:t>
            </w:r>
          </w:p>
          <w:p w:rsidR="007A5DFF" w:rsidRPr="00C815FC" w:rsidP="007A5DFF" w14:paraId="1C47B243" w14:textId="77777777">
            <w:pPr>
              <w:numPr>
                <w:ilvl w:val="0"/>
                <w:numId w:val="24"/>
              </w:numPr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Оснащення наявних укриттів;</w:t>
            </w:r>
          </w:p>
          <w:p w:rsidR="007A5DFF" w:rsidRPr="00C815FC" w:rsidP="007A5DFF" w14:paraId="058E650C" w14:textId="77777777">
            <w:pPr>
              <w:numPr>
                <w:ilvl w:val="0"/>
                <w:numId w:val="24"/>
              </w:numPr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Оснащення потенційних укриттів;</w:t>
            </w:r>
          </w:p>
          <w:p w:rsidR="007A5DFF" w:rsidRPr="00C815FC" w:rsidP="007A5DFF" w14:paraId="42C73362" w14:textId="77777777">
            <w:pPr>
              <w:numPr>
                <w:ilvl w:val="0"/>
                <w:numId w:val="24"/>
              </w:numPr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 укриттів у разі їх відсутності;</w:t>
            </w:r>
          </w:p>
          <w:p w:rsidR="007A5DFF" w:rsidRPr="00C815FC" w:rsidP="007A5DFF" w14:paraId="6F0B0F04" w14:textId="77777777">
            <w:pPr>
              <w:numPr>
                <w:ilvl w:val="0"/>
                <w:numId w:val="24"/>
              </w:numPr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наявних систем оповіщення та/або ремонт пошкоджених;</w:t>
            </w:r>
          </w:p>
          <w:p w:rsidR="007A5DFF" w:rsidRPr="00C815FC" w:rsidP="007A5DFF" w14:paraId="164BF32F" w14:textId="77777777">
            <w:pPr>
              <w:numPr>
                <w:ilvl w:val="0"/>
                <w:numId w:val="24"/>
              </w:numPr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навчання персоналу щодо надання першої медичної допомоги та порядку дій у разі виникнення надзвичайної ситуації;</w:t>
            </w:r>
          </w:p>
          <w:p w:rsidR="007A5DFF" w:rsidRPr="00C815FC" w:rsidP="007A5DFF" w14:paraId="7ABD06BF" w14:textId="77777777">
            <w:pPr>
              <w:numPr>
                <w:ilvl w:val="0"/>
                <w:numId w:val="24"/>
              </w:numPr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Покращити програми розвитку персоналу для підготовки до потенційних ворожих дій та інших надзвичайних ситуацій, включно з навчанням персоналу щодо виявлення підозрілих дій та забезпеченням механізмів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повідомлення та реагування.</w:t>
            </w:r>
          </w:p>
        </w:tc>
        <w:tc>
          <w:tcPr>
            <w:tcW w:w="1276" w:type="dxa"/>
          </w:tcPr>
          <w:p w:rsidR="007A5DFF" w:rsidRPr="00C815FC" w:rsidP="004A4AFC" w14:paraId="40B8C1D3" w14:textId="77777777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1984" w:type="dxa"/>
          </w:tcPr>
          <w:p w:rsidR="007A5DFF" w:rsidRPr="00C815FC" w:rsidP="004A4AFC" w14:paraId="0AF09FFC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eastAsia="ru-RU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будівництва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житлово-комунального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господарства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інфраструктури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транспорту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, Управляючі компанії, ОСББ/ЖБК, балансоутримувачі, ДСНС</w:t>
            </w:r>
          </w:p>
        </w:tc>
        <w:tc>
          <w:tcPr>
            <w:tcW w:w="1871" w:type="dxa"/>
            <w:gridSpan w:val="2"/>
            <w:vAlign w:val="center"/>
          </w:tcPr>
          <w:p w:rsidR="007A5DFF" w:rsidRPr="00C815FC" w:rsidP="004A4AFC" w14:paraId="4C364257" w14:textId="77777777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Цільові програми, власні кошти</w:t>
            </w:r>
          </w:p>
        </w:tc>
        <w:tc>
          <w:tcPr>
            <w:tcW w:w="993" w:type="dxa"/>
            <w:vAlign w:val="center"/>
          </w:tcPr>
          <w:p w:rsidR="007A5DFF" w:rsidRPr="00C815FC" w:rsidP="004A4AFC" w14:paraId="589BDB7F" w14:textId="77777777">
            <w:pPr>
              <w:spacing w:before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65D9D80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3999D43A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5D6F79A1" w14:textId="77777777">
            <w:pPr>
              <w:numPr>
                <w:ilvl w:val="0"/>
                <w:numId w:val="9"/>
              </w:numPr>
              <w:spacing w:before="120"/>
              <w:ind w:left="33" w:hanging="28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Забезпечення резервного енергопостачання критичного обладнання</w:t>
            </w:r>
          </w:p>
        </w:tc>
        <w:tc>
          <w:tcPr>
            <w:tcW w:w="5244" w:type="dxa"/>
          </w:tcPr>
          <w:p w:rsidR="007A5DFF" w:rsidRPr="00C815FC" w:rsidP="007A5DFF" w14:paraId="1899F70C" w14:textId="77777777">
            <w:pPr>
              <w:numPr>
                <w:ilvl w:val="0"/>
                <w:numId w:val="25"/>
              </w:numPr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наявності резервного енергопостачання;</w:t>
            </w:r>
          </w:p>
          <w:p w:rsidR="007A5DFF" w:rsidRPr="00C815FC" w:rsidP="007A5DFF" w14:paraId="65A74DDD" w14:textId="77777777">
            <w:pPr>
              <w:numPr>
                <w:ilvl w:val="0"/>
                <w:numId w:val="25"/>
              </w:numPr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в засобах резервного енергопостачання;</w:t>
            </w:r>
          </w:p>
          <w:p w:rsidR="007A5DFF" w:rsidRPr="00C815FC" w:rsidP="007A5DFF" w14:paraId="5E631490" w14:textId="77777777">
            <w:pPr>
              <w:numPr>
                <w:ilvl w:val="0"/>
                <w:numId w:val="25"/>
              </w:numPr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палива для створення резервів, що забезпечуватимуть роботу генераторів;</w:t>
            </w:r>
          </w:p>
          <w:p w:rsidR="007A5DFF" w:rsidRPr="00C815FC" w:rsidP="007A5DFF" w14:paraId="1A18CD21" w14:textId="77777777">
            <w:pPr>
              <w:numPr>
                <w:ilvl w:val="0"/>
                <w:numId w:val="25"/>
              </w:numPr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езпечення об’єктів генераторами.</w:t>
            </w:r>
          </w:p>
        </w:tc>
        <w:tc>
          <w:tcPr>
            <w:tcW w:w="1276" w:type="dxa"/>
          </w:tcPr>
          <w:p w:rsidR="007A5DFF" w:rsidRPr="00C815FC" w:rsidP="004A4AFC" w14:paraId="44822548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1984" w:type="dxa"/>
          </w:tcPr>
          <w:p w:rsidR="007A5DFF" w:rsidRPr="00C815FC" w:rsidP="004A4AFC" w14:paraId="4FDD2122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будівництва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житлово-комунального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господарства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інфраструктури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транспорту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, Управляючі компанії, ОСББ/ЖБК, балансоутримувачі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714CF75B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Цільові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програми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власні кошти</w:t>
            </w:r>
          </w:p>
        </w:tc>
        <w:tc>
          <w:tcPr>
            <w:tcW w:w="993" w:type="dxa"/>
          </w:tcPr>
          <w:p w:rsidR="007A5DFF" w:rsidRPr="00C815FC" w:rsidP="004A4AFC" w14:paraId="30BA4E61" w14:textId="77777777">
            <w:pPr>
              <w:spacing w:before="12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107A129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00703589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6BC269F6" w14:textId="77777777">
            <w:pPr>
              <w:numPr>
                <w:ilvl w:val="0"/>
                <w:numId w:val="9"/>
              </w:numPr>
              <w:spacing w:before="120"/>
              <w:ind w:left="33" w:firstLine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Модернізація системи теплопостачання</w:t>
            </w:r>
          </w:p>
        </w:tc>
        <w:tc>
          <w:tcPr>
            <w:tcW w:w="5244" w:type="dxa"/>
          </w:tcPr>
          <w:p w:rsidR="007A5DFF" w:rsidRPr="00C815FC" w:rsidP="007A5DFF" w14:paraId="1C67EE1E" w14:textId="77777777">
            <w:pPr>
              <w:numPr>
                <w:ilvl w:val="0"/>
                <w:numId w:val="26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Визначення стану обладнання 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котелень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A5DFF" w:rsidRPr="00C815FC" w:rsidP="007A5DFF" w14:paraId="5A26BB8E" w14:textId="77777777">
            <w:pPr>
              <w:numPr>
                <w:ilvl w:val="0"/>
                <w:numId w:val="26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в обладнанні та його складових частин для здійснення модернізації;</w:t>
            </w:r>
          </w:p>
          <w:p w:rsidR="007A5DFF" w:rsidRPr="00C815FC" w:rsidP="007A5DFF" w14:paraId="1AF61B71" w14:textId="77777777">
            <w:pPr>
              <w:numPr>
                <w:ilvl w:val="0"/>
                <w:numId w:val="26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необхідного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обладнання та складових частин.</w:t>
            </w:r>
          </w:p>
        </w:tc>
        <w:tc>
          <w:tcPr>
            <w:tcW w:w="1276" w:type="dxa"/>
          </w:tcPr>
          <w:p w:rsidR="007A5DFF" w:rsidRPr="00C815FC" w:rsidP="004A4AFC" w14:paraId="6E878442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1984" w:type="dxa"/>
          </w:tcPr>
          <w:p w:rsidR="007A5DFF" w:rsidRPr="00C815FC" w:rsidP="004A4AFC" w14:paraId="5FE9B962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», Управляючі компанії, ОСББ/ЖБК, балансоутримувачі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2479C38A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Цільові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програми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власні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кошти</w:t>
            </w:r>
          </w:p>
        </w:tc>
        <w:tc>
          <w:tcPr>
            <w:tcW w:w="993" w:type="dxa"/>
          </w:tcPr>
          <w:p w:rsidR="007A5DFF" w:rsidRPr="00C815FC" w:rsidP="004A4AFC" w14:paraId="6E4F3DED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FE9AB53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  <w:vAlign w:val="bottom"/>
          </w:tcPr>
          <w:p w:rsidR="007A5DFF" w:rsidRPr="00C815FC" w:rsidP="004A4AFC" w14:paraId="4CBE89AB" w14:textId="7777777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Заходи з реагування</w:t>
            </w:r>
          </w:p>
        </w:tc>
        <w:tc>
          <w:tcPr>
            <w:tcW w:w="2381" w:type="dxa"/>
          </w:tcPr>
          <w:p w:rsidR="007A5DFF" w:rsidRPr="00C815FC" w:rsidP="007A5DFF" w14:paraId="44B454FD" w14:textId="77777777">
            <w:pPr>
              <w:numPr>
                <w:ilvl w:val="0"/>
                <w:numId w:val="11"/>
              </w:numPr>
              <w:spacing w:before="120"/>
              <w:ind w:left="33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Визначення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спроможностей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 для реагування</w:t>
            </w:r>
          </w:p>
        </w:tc>
        <w:tc>
          <w:tcPr>
            <w:tcW w:w="5244" w:type="dxa"/>
          </w:tcPr>
          <w:p w:rsidR="007A5DFF" w:rsidRPr="00C815FC" w:rsidP="004A4AFC" w14:paraId="552D4F04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1.1.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Визначення вимог до структури, чисельності особового складу військових формувань та правоохоронних органів, необхідних для реагування;</w:t>
            </w:r>
          </w:p>
          <w:p w:rsidR="007A5DFF" w:rsidRPr="00C815FC" w:rsidP="004A4AFC" w14:paraId="463D35E1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1.2.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  <w:t xml:space="preserve">Визначення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кількісних та якісних показників озброєння та військової (спеціальної) техніки, інших видів матеріально-технічного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забезпечення, військової (спеціальної) інфраструктури;</w:t>
            </w:r>
          </w:p>
          <w:p w:rsidR="007A5DFF" w:rsidRPr="00C815FC" w:rsidP="004A4AFC" w14:paraId="3548C205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1.3.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потреби в засобах та силах, необхідних для реагування;</w:t>
            </w:r>
          </w:p>
          <w:p w:rsidR="007A5DFF" w:rsidRPr="00C815FC" w:rsidP="004A4AFC" w14:paraId="43480605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1.4.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плану взаємодії із сусідніми громадами для заповнення потреби при реагуванні;</w:t>
            </w:r>
          </w:p>
          <w:p w:rsidR="007A5DFF" w:rsidRPr="00C815FC" w:rsidP="004A4AFC" w14:paraId="3D1BBD3E" w14:textId="77777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1.5.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  <w:t>Реагування на кризові ситуації за Протоколами реагування функціональних органів.</w:t>
            </w:r>
          </w:p>
        </w:tc>
        <w:tc>
          <w:tcPr>
            <w:tcW w:w="1276" w:type="dxa"/>
          </w:tcPr>
          <w:p w:rsidR="007A5DFF" w:rsidRPr="00C815FC" w:rsidP="004A4AFC" w14:paraId="6C37BBAD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3127D8FB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Броварська районна державна адміністрація (Броварська районна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військова адміністрація) Київської області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60BBD5D8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Згідно з пунктом 24 частини першої статті 25 Закону України «Про місцеві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державні адміністрації»</w:t>
            </w:r>
          </w:p>
        </w:tc>
        <w:tc>
          <w:tcPr>
            <w:tcW w:w="993" w:type="dxa"/>
          </w:tcPr>
          <w:p w:rsidR="007A5DFF" w:rsidRPr="00C815FC" w:rsidP="004A4AFC" w14:paraId="2107B64F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C1A225F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025E5298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7793309C" w14:textId="77777777">
            <w:pPr>
              <w:numPr>
                <w:ilvl w:val="0"/>
                <w:numId w:val="11"/>
              </w:numPr>
              <w:spacing w:before="120"/>
              <w:ind w:left="33" w:hanging="28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Забезпечення можливості евакуації</w:t>
            </w:r>
          </w:p>
        </w:tc>
        <w:tc>
          <w:tcPr>
            <w:tcW w:w="5244" w:type="dxa"/>
          </w:tcPr>
          <w:p w:rsidR="007A5DFF" w:rsidRPr="00C815FC" w:rsidP="004A4AFC" w14:paraId="64BCD4F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2.1.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Визначити порядок дій при евакуації персоналу;</w:t>
            </w:r>
          </w:p>
          <w:p w:rsidR="007A5DFF" w:rsidRPr="00C815FC" w:rsidP="004A4AFC" w14:paraId="3B442303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2.2.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Перевірити наявність ресурсів для здійснення евакуації персоналу (автобуси, човни тощо);</w:t>
            </w:r>
          </w:p>
          <w:p w:rsidR="007A5DFF" w:rsidRPr="00C815FC" w:rsidP="004A4AFC" w14:paraId="400004E7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2.3.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Перевірити наявність житла для евакуйованого персоналу;</w:t>
            </w:r>
          </w:p>
          <w:p w:rsidR="007A5DFF" w:rsidRPr="00C815FC" w:rsidP="004A4AFC" w14:paraId="5BC8F173" w14:textId="7777777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2.4.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Забезпечення евакуйованого персоналу водою, продовольством та житлом.</w:t>
            </w:r>
          </w:p>
        </w:tc>
        <w:tc>
          <w:tcPr>
            <w:tcW w:w="1276" w:type="dxa"/>
          </w:tcPr>
          <w:p w:rsidR="007A5DFF" w:rsidRPr="00C815FC" w:rsidP="004A4AFC" w14:paraId="46E3B952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49"/>
            </w:tblGrid>
            <w:tr w14:paraId="7CD735CC" w14:textId="77777777" w:rsidTr="004A4AFC">
              <w:tblPrEx>
                <w:tblW w:w="0" w:type="auto"/>
                <w:tblBorders>
                  <w:top w:val="nil"/>
                  <w:left w:val="nil"/>
                  <w:bottom w:val="nil"/>
                  <w:right w:val="nil"/>
                </w:tblBorders>
                <w:tblLayout w:type="fixed"/>
                <w:tblLook w:val="0000"/>
              </w:tblPrEx>
              <w:trPr>
                <w:trHeight w:val="322"/>
              </w:trPr>
              <w:tc>
                <w:tcPr>
                  <w:tcW w:w="1249" w:type="dxa"/>
                </w:tcPr>
                <w:p w:rsidR="007A5DFF" w:rsidRPr="00C815FC" w:rsidP="004A4AFC" w14:paraId="294951E3" w14:textId="7777777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8"/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C815FC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 xml:space="preserve">Комісія з евакуації міської ради </w:t>
                  </w:r>
                </w:p>
              </w:tc>
            </w:tr>
          </w:tbl>
          <w:p w:rsidR="007A5DFF" w:rsidRPr="00C815FC" w:rsidP="004A4AFC" w14:paraId="6737C61F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7A5DFF" w:rsidRPr="00C815FC" w:rsidP="004A4AFC" w14:paraId="61B88C92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Згідно з пунктом 24 частини першої статті 25 Закону України «Про місцеві державні адміністрації»</w:t>
            </w:r>
          </w:p>
        </w:tc>
        <w:tc>
          <w:tcPr>
            <w:tcW w:w="993" w:type="dxa"/>
          </w:tcPr>
          <w:p w:rsidR="007A5DFF" w:rsidRPr="00C815FC" w:rsidP="004A4AFC" w14:paraId="7FF599CC" w14:textId="77777777">
            <w:pPr>
              <w:spacing w:before="12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9956C00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61A54258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Заходи з відновлення</w:t>
            </w:r>
          </w:p>
        </w:tc>
        <w:tc>
          <w:tcPr>
            <w:tcW w:w="2381" w:type="dxa"/>
          </w:tcPr>
          <w:p w:rsidR="007A5DFF" w:rsidRPr="00C815FC" w:rsidP="007A5DFF" w14:paraId="1BEF0DC7" w14:textId="77777777">
            <w:pPr>
              <w:numPr>
                <w:ilvl w:val="0"/>
                <w:numId w:val="2"/>
              </w:numPr>
              <w:spacing w:before="120"/>
              <w:ind w:left="33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Забезпечити можливість відновлення теплопостачання без зовнішнього живлення.</w:t>
            </w:r>
          </w:p>
        </w:tc>
        <w:tc>
          <w:tcPr>
            <w:tcW w:w="5244" w:type="dxa"/>
          </w:tcPr>
          <w:p w:rsidR="007A5DFF" w:rsidRPr="00C815FC" w:rsidP="007A5DFF" w14:paraId="3CF03CAC" w14:textId="77777777">
            <w:pPr>
              <w:numPr>
                <w:ilvl w:val="1"/>
                <w:numId w:val="2"/>
              </w:numPr>
              <w:ind w:left="9" w:hanging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Забезпечити наявність генеруючих установок, які можуть перезапускатися без стороннього живлення та без підключення до потужності.</w:t>
            </w:r>
          </w:p>
        </w:tc>
        <w:tc>
          <w:tcPr>
            <w:tcW w:w="1276" w:type="dxa"/>
          </w:tcPr>
          <w:p w:rsidR="007A5DFF" w:rsidRPr="00C815FC" w:rsidP="004A4AFC" w14:paraId="675460DB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Постійно</w:t>
            </w:r>
          </w:p>
        </w:tc>
        <w:tc>
          <w:tcPr>
            <w:tcW w:w="1984" w:type="dxa"/>
          </w:tcPr>
          <w:p w:rsidR="007A5DFF" w:rsidRPr="00C815FC" w:rsidP="004A4AFC" w14:paraId="2B14B19D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«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Броваритепловодоенергія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53EE97C5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Цільові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програми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власні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кошти</w:t>
            </w:r>
          </w:p>
        </w:tc>
        <w:tc>
          <w:tcPr>
            <w:tcW w:w="993" w:type="dxa"/>
          </w:tcPr>
          <w:p w:rsidR="007A5DFF" w:rsidRPr="00C815FC" w:rsidP="004A4AFC" w14:paraId="03414234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C2B2584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745D3529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36CD4BB9" w14:textId="77777777">
            <w:pPr>
              <w:numPr>
                <w:ilvl w:val="0"/>
                <w:numId w:val="2"/>
              </w:numPr>
              <w:spacing w:before="120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Створення резервів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комлектуючих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 частин, необхідних для ремонту та відновлення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теплопостачання </w:t>
            </w:r>
          </w:p>
        </w:tc>
        <w:tc>
          <w:tcPr>
            <w:tcW w:w="5244" w:type="dxa"/>
          </w:tcPr>
          <w:p w:rsidR="007A5DFF" w:rsidRPr="00C815FC" w:rsidP="007A5DFF" w14:paraId="7CDECC59" w14:textId="77777777">
            <w:pPr>
              <w:numPr>
                <w:ilvl w:val="0"/>
                <w:numId w:val="12"/>
              </w:numPr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наявності готових запасних частин, матеріалів і засобів доставки;</w:t>
            </w:r>
          </w:p>
          <w:p w:rsidR="007A5DFF" w:rsidRPr="00C815FC" w:rsidP="007A5DFF" w14:paraId="0A5271DD" w14:textId="77777777">
            <w:pPr>
              <w:numPr>
                <w:ilvl w:val="0"/>
                <w:numId w:val="12"/>
              </w:numPr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в готових запасних частинах, матеріалах і засобах доставки, необхідних для якнайшвидшого відновлення об’єктів;</w:t>
            </w:r>
          </w:p>
          <w:p w:rsidR="007A5DFF" w:rsidRPr="00C815FC" w:rsidP="007A5DFF" w14:paraId="17E6E4C2" w14:textId="77777777">
            <w:pPr>
              <w:numPr>
                <w:ilvl w:val="0"/>
                <w:numId w:val="12"/>
              </w:numPr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забезпечення об’єктів готовими запасними частинами, матеріалами і засобами доставки;</w:t>
            </w:r>
          </w:p>
          <w:p w:rsidR="007A5DFF" w:rsidRPr="00C815FC" w:rsidP="007A5DFF" w14:paraId="0FE2A62B" w14:textId="77777777">
            <w:pPr>
              <w:numPr>
                <w:ilvl w:val="0"/>
                <w:numId w:val="12"/>
              </w:numPr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Застосування резервів для якнайшвидшого відновлення об’єктів та надання послуги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водопостачання/ водовідведення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A5DFF" w:rsidRPr="00C815FC" w:rsidP="004A4AFC" w14:paraId="050D823C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Постійно</w:t>
            </w:r>
          </w:p>
        </w:tc>
        <w:tc>
          <w:tcPr>
            <w:tcW w:w="1984" w:type="dxa"/>
          </w:tcPr>
          <w:p w:rsidR="007A5DFF" w:rsidRPr="00C815FC" w:rsidP="004A4AFC" w14:paraId="7249FDA1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«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Броваритепловодоенергія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надавачі комунальних послуг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1B93EE6B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Цільові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програми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власні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кошти</w:t>
            </w:r>
          </w:p>
        </w:tc>
        <w:tc>
          <w:tcPr>
            <w:tcW w:w="993" w:type="dxa"/>
          </w:tcPr>
          <w:p w:rsidR="007A5DFF" w:rsidRPr="00C815FC" w:rsidP="004A4AFC" w14:paraId="152E4C20" w14:textId="77777777">
            <w:pPr>
              <w:spacing w:before="12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Протоколи, акти, висновки</w:t>
            </w:r>
          </w:p>
        </w:tc>
      </w:tr>
      <w:tr w14:paraId="71508516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301" w:type="dxa"/>
            <w:gridSpan w:val="8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0E4B1425" w14:textId="777777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ПОСЛУГА ВОДОПОСТАЧАННЯ ТА ВОДОВІДВЕДЕННЯ</w:t>
            </w:r>
          </w:p>
        </w:tc>
      </w:tr>
      <w:tr w14:paraId="111A8D26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301" w:type="dxa"/>
            <w:gridSpan w:val="8"/>
            <w:shd w:val="clear" w:color="auto" w:fill="DBE5F1" w:themeFill="accent1" w:themeFillTint="33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390E9F4B" w14:textId="777777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Перелік об’єктів, які забезпечують життєдіяльність:</w:t>
            </w:r>
          </w:p>
          <w:p w:rsidR="007A5DFF" w:rsidRPr="00C815FC" w:rsidP="004A4AFC" w14:paraId="0101D54B" w14:textId="777777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КП «</w:t>
            </w:r>
            <w:r w:rsidRPr="00C8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Броваритепловодоенергія</w:t>
            </w:r>
            <w:r w:rsidRPr="00C8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C8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Водозабір, Насосна станція І-го підйому; ВОС, Насосна станція ІІ-го підйому; ВНС-2; КНС двадцять чотири станції;</w:t>
            </w:r>
          </w:p>
          <w:p w:rsidR="007A5DFF" w:rsidRPr="00C815FC" w:rsidP="004A4AFC" w14:paraId="3E6057F1" w14:textId="77777777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ТОВ «Комерційна компанія «</w:t>
            </w:r>
            <w:r w:rsidRPr="00C8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Аквасервіс</w:t>
            </w:r>
            <w:r w:rsidRPr="00C8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»: ГКНС, фільтрувальна</w:t>
            </w:r>
          </w:p>
        </w:tc>
      </w:tr>
      <w:tr w14:paraId="37312029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42A5AC84" w14:textId="7777777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Превентивні заходи</w:t>
            </w:r>
          </w:p>
        </w:tc>
        <w:tc>
          <w:tcPr>
            <w:tcW w:w="2381" w:type="dxa"/>
          </w:tcPr>
          <w:p w:rsidR="007A5DFF" w:rsidRPr="00C815FC" w:rsidP="007A5DFF" w14:paraId="68D82941" w14:textId="77777777">
            <w:pPr>
              <w:numPr>
                <w:ilvl w:val="0"/>
                <w:numId w:val="67"/>
              </w:numPr>
              <w:spacing w:before="120"/>
              <w:ind w:left="5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Організація безпосереднього протиповітряного прикриття силами ЗСУ, НГУ</w:t>
            </w:r>
          </w:p>
        </w:tc>
        <w:tc>
          <w:tcPr>
            <w:tcW w:w="5244" w:type="dxa"/>
          </w:tcPr>
          <w:p w:rsidR="007A5DFF" w:rsidRPr="00C815FC" w:rsidP="007A5DFF" w14:paraId="47B392A2" w14:textId="77777777">
            <w:pPr>
              <w:numPr>
                <w:ilvl w:val="0"/>
                <w:numId w:val="21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фактичного стану забезпеченості мобільних вогневих груп ППО;</w:t>
            </w:r>
          </w:p>
          <w:p w:rsidR="007A5DFF" w:rsidRPr="00C815FC" w:rsidP="007A5DFF" w14:paraId="4F0D1988" w14:textId="77777777">
            <w:pPr>
              <w:numPr>
                <w:ilvl w:val="0"/>
                <w:numId w:val="21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додатковому обладнанні;</w:t>
            </w:r>
          </w:p>
          <w:p w:rsidR="007A5DFF" w:rsidRPr="00C815FC" w:rsidP="007A5DFF" w14:paraId="44995797" w14:textId="77777777">
            <w:pPr>
              <w:numPr>
                <w:ilvl w:val="0"/>
                <w:numId w:val="21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оснащення мобільних вогневих груп ППО додатковим обладнанням.</w:t>
            </w:r>
          </w:p>
        </w:tc>
        <w:tc>
          <w:tcPr>
            <w:tcW w:w="1276" w:type="dxa"/>
          </w:tcPr>
          <w:p w:rsidR="007A5DFF" w:rsidRPr="00C815FC" w:rsidP="004A4AFC" w14:paraId="49C205E2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ороку </w:t>
            </w:r>
          </w:p>
        </w:tc>
        <w:tc>
          <w:tcPr>
            <w:tcW w:w="1984" w:type="dxa"/>
          </w:tcPr>
          <w:p w:rsidR="007A5DFF" w:rsidRPr="00C815FC" w:rsidP="004A4AFC" w14:paraId="33689AA0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Броварська районна державна адміністрація (Броварська районна військова адміністрація) Київської області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4F00B8B3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Згідно з пунктом 24 частини першої статті 25 Закону України «Про місцеві державні адміністрації» </w:t>
            </w:r>
          </w:p>
        </w:tc>
        <w:tc>
          <w:tcPr>
            <w:tcW w:w="993" w:type="dxa"/>
          </w:tcPr>
          <w:p w:rsidR="007A5DFF" w:rsidRPr="00C815FC" w:rsidP="004A4AFC" w14:paraId="69BA9D4A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FBFA3E8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72AB9D88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3CC7660A" w14:textId="77777777">
            <w:pPr>
              <w:numPr>
                <w:ilvl w:val="0"/>
                <w:numId w:val="67"/>
              </w:numPr>
              <w:spacing w:before="120"/>
              <w:ind w:left="5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фізичного захисту об’єктів</w:t>
            </w:r>
          </w:p>
        </w:tc>
        <w:tc>
          <w:tcPr>
            <w:tcW w:w="5244" w:type="dxa"/>
          </w:tcPr>
          <w:p w:rsidR="007A5DFF" w:rsidRPr="00C815FC" w:rsidP="007A5DFF" w14:paraId="48A25C62" w14:textId="77777777">
            <w:pPr>
              <w:numPr>
                <w:ilvl w:val="0"/>
                <w:numId w:val="22"/>
              </w:numPr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наявності та стану наземної охорони та оборони об’єктів;</w:t>
            </w:r>
          </w:p>
          <w:p w:rsidR="007A5DFF" w:rsidRPr="00C815FC" w:rsidP="007A5DFF" w14:paraId="17BEF1C6" w14:textId="77777777">
            <w:pPr>
              <w:numPr>
                <w:ilvl w:val="0"/>
                <w:numId w:val="22"/>
              </w:numPr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силах охорони та оборони об’єктів;</w:t>
            </w:r>
          </w:p>
          <w:p w:rsidR="007A5DFF" w:rsidRPr="00C815FC" w:rsidP="007A5DFF" w14:paraId="134DE810" w14:textId="77777777">
            <w:pPr>
              <w:numPr>
                <w:ilvl w:val="0"/>
                <w:numId w:val="22"/>
              </w:numPr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наземної охорони та оборони силами НПУ, НГУ, ВОХОР, ЗСУ;</w:t>
            </w:r>
          </w:p>
          <w:p w:rsidR="007A5DFF" w:rsidRPr="00C815FC" w:rsidP="007A5DFF" w14:paraId="2ECC6AF5" w14:textId="77777777">
            <w:pPr>
              <w:numPr>
                <w:ilvl w:val="0"/>
                <w:numId w:val="22"/>
              </w:numPr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цілодобової охорони об’єктів;</w:t>
            </w:r>
          </w:p>
          <w:p w:rsidR="007A5DFF" w:rsidRPr="00C815FC" w:rsidP="007A5DFF" w14:paraId="732FF4DE" w14:textId="77777777">
            <w:pPr>
              <w:numPr>
                <w:ilvl w:val="0"/>
                <w:numId w:val="22"/>
              </w:numPr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стану комплексної системи безпеки (відеоспостереження, сигналізація тощо);</w:t>
            </w:r>
          </w:p>
          <w:p w:rsidR="007A5DFF" w:rsidRPr="00C815FC" w:rsidP="007A5DFF" w14:paraId="11D1EDE0" w14:textId="77777777">
            <w:pPr>
              <w:numPr>
                <w:ilvl w:val="0"/>
                <w:numId w:val="22"/>
              </w:numPr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Визначення стану забезпеченості мобільних вогневих груп необхідним обладнанням; </w:t>
            </w:r>
          </w:p>
          <w:p w:rsidR="007A5DFF" w:rsidRPr="00C815FC" w:rsidP="007A5DFF" w14:paraId="3D9F5C5A" w14:textId="77777777">
            <w:pPr>
              <w:numPr>
                <w:ilvl w:val="0"/>
                <w:numId w:val="22"/>
              </w:numPr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додатковому обладнанні для мобільних вогневих груп та матеріалів, необхідних для ремонту/створення комплексної системи безпеки;</w:t>
            </w:r>
          </w:p>
          <w:p w:rsidR="007A5DFF" w:rsidRPr="00C815FC" w:rsidP="007A5DFF" w14:paraId="25A6C875" w14:textId="77777777">
            <w:pPr>
              <w:numPr>
                <w:ilvl w:val="0"/>
                <w:numId w:val="22"/>
              </w:numPr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оснащення мобільних вогневих груп додатковим обладнанням;</w:t>
            </w:r>
          </w:p>
          <w:p w:rsidR="007A5DFF" w:rsidRPr="00C815FC" w:rsidP="007A5DFF" w14:paraId="0A64E93A" w14:textId="77777777">
            <w:pPr>
              <w:numPr>
                <w:ilvl w:val="0"/>
                <w:numId w:val="22"/>
              </w:numPr>
              <w:ind w:left="3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оснащення об’єктів комплексною системою безпеки.</w:t>
            </w:r>
          </w:p>
        </w:tc>
        <w:tc>
          <w:tcPr>
            <w:tcW w:w="1276" w:type="dxa"/>
          </w:tcPr>
          <w:p w:rsidR="007A5DFF" w:rsidRPr="00C815FC" w:rsidP="004A4AFC" w14:paraId="5C541CCD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21E1D04C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Броварська районна державна адміністрація (Броварська районна військова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адміністрація) Київської області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6F00B5B2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Згідно з пунктом 24 частини першої статті 25 Закону України «Про місцеві державні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адміністрації»</w:t>
            </w:r>
          </w:p>
        </w:tc>
        <w:tc>
          <w:tcPr>
            <w:tcW w:w="993" w:type="dxa"/>
          </w:tcPr>
          <w:p w:rsidR="007A5DFF" w:rsidRPr="00C815FC" w:rsidP="004A4AFC" w14:paraId="09474F73" w14:textId="77777777">
            <w:pPr>
              <w:spacing w:before="12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BD0F101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45FFA671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7BA10880" w14:textId="77777777">
            <w:pPr>
              <w:numPr>
                <w:ilvl w:val="0"/>
                <w:numId w:val="67"/>
              </w:numPr>
              <w:spacing w:before="120"/>
              <w:ind w:left="5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Забезпечення інженерного захисту критичних елементів на об’єктах</w:t>
            </w:r>
          </w:p>
        </w:tc>
        <w:tc>
          <w:tcPr>
            <w:tcW w:w="5244" w:type="dxa"/>
          </w:tcPr>
          <w:p w:rsidR="007A5DFF" w:rsidRPr="00C815FC" w:rsidP="007A5DFF" w14:paraId="6BD01354" w14:textId="77777777">
            <w:pPr>
              <w:numPr>
                <w:ilvl w:val="0"/>
                <w:numId w:val="23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Визначення стану захищеності об’єктів інженерними засобами захисту;</w:t>
            </w:r>
          </w:p>
          <w:p w:rsidR="007A5DFF" w:rsidRPr="00C815FC" w:rsidP="007A5DFF" w14:paraId="28826F09" w14:textId="77777777">
            <w:pPr>
              <w:numPr>
                <w:ilvl w:val="0"/>
                <w:numId w:val="23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потреби в засобах інженерного захисту;</w:t>
            </w:r>
          </w:p>
          <w:p w:rsidR="007A5DFF" w:rsidRPr="00C815FC" w:rsidP="007A5DFF" w14:paraId="2EEA66F1" w14:textId="77777777">
            <w:pPr>
              <w:numPr>
                <w:ilvl w:val="0"/>
                <w:numId w:val="23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Закупівля необхідних засобів та матеріалів;</w:t>
            </w:r>
          </w:p>
          <w:p w:rsidR="007A5DFF" w:rsidRPr="00C815FC" w:rsidP="007A5DFF" w14:paraId="717BE7A4" w14:textId="77777777">
            <w:pPr>
              <w:numPr>
                <w:ilvl w:val="0"/>
                <w:numId w:val="23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Оснащення критичних елементів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об’єктів інженерними засобами захисту.</w:t>
            </w:r>
          </w:p>
        </w:tc>
        <w:tc>
          <w:tcPr>
            <w:tcW w:w="1276" w:type="dxa"/>
          </w:tcPr>
          <w:p w:rsidR="007A5DFF" w:rsidRPr="00C815FC" w:rsidP="004A4AFC" w14:paraId="39727258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П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остійно</w:t>
            </w:r>
          </w:p>
        </w:tc>
        <w:tc>
          <w:tcPr>
            <w:tcW w:w="1984" w:type="dxa"/>
          </w:tcPr>
          <w:p w:rsidR="007A5DFF" w:rsidRPr="00C815FC" w:rsidP="004A4AFC" w14:paraId="769965DE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«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Броваритепловодоенергія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75E5F5EC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A5DFF" w:rsidRPr="00C815FC" w:rsidP="004A4AFC" w14:paraId="12185DBE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57330E9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29BA88EF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7423FCEE" w14:textId="77777777">
            <w:pPr>
              <w:numPr>
                <w:ilvl w:val="0"/>
                <w:numId w:val="67"/>
              </w:numPr>
              <w:spacing w:before="120"/>
              <w:ind w:left="5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Забезпечення цивільного захисту об’єктів</w:t>
            </w:r>
          </w:p>
        </w:tc>
        <w:tc>
          <w:tcPr>
            <w:tcW w:w="5244" w:type="dxa"/>
          </w:tcPr>
          <w:p w:rsidR="007A5DFF" w:rsidRPr="00C815FC" w:rsidP="007A5DFF" w14:paraId="23AB3AF0" w14:textId="77777777">
            <w:pPr>
              <w:numPr>
                <w:ilvl w:val="0"/>
                <w:numId w:val="24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наявності та стану укриттів на об’єктах;</w:t>
            </w:r>
          </w:p>
          <w:p w:rsidR="007A5DFF" w:rsidRPr="00C815FC" w:rsidP="007A5DFF" w14:paraId="7B00C20E" w14:textId="77777777">
            <w:pPr>
              <w:numPr>
                <w:ilvl w:val="0"/>
                <w:numId w:val="24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систем оповіщення;</w:t>
            </w:r>
          </w:p>
          <w:p w:rsidR="007A5DFF" w:rsidRPr="00C815FC" w:rsidP="007A5DFF" w14:paraId="67218E1E" w14:textId="77777777">
            <w:pPr>
              <w:numPr>
                <w:ilvl w:val="0"/>
                <w:numId w:val="24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матеріалах, необхідних для забезпечення цивільного захисту об’єктів;</w:t>
            </w:r>
          </w:p>
          <w:p w:rsidR="007A5DFF" w:rsidRPr="00C815FC" w:rsidP="007A5DFF" w14:paraId="0D55F8A2" w14:textId="77777777">
            <w:pPr>
              <w:numPr>
                <w:ilvl w:val="0"/>
                <w:numId w:val="24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Оснащення наявних укриттів;</w:t>
            </w:r>
          </w:p>
          <w:p w:rsidR="007A5DFF" w:rsidRPr="00C815FC" w:rsidP="007A5DFF" w14:paraId="36300943" w14:textId="77777777">
            <w:pPr>
              <w:numPr>
                <w:ilvl w:val="0"/>
                <w:numId w:val="24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Оснащення потенційних укриттів;</w:t>
            </w:r>
          </w:p>
          <w:p w:rsidR="007A5DFF" w:rsidRPr="00C815FC" w:rsidP="007A5DFF" w14:paraId="6BE021D5" w14:textId="77777777">
            <w:pPr>
              <w:numPr>
                <w:ilvl w:val="0"/>
                <w:numId w:val="24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 укриттів у разі їх відсутності;</w:t>
            </w:r>
          </w:p>
          <w:p w:rsidR="007A5DFF" w:rsidRPr="00C815FC" w:rsidP="007A5DFF" w14:paraId="107EE80F" w14:textId="77777777">
            <w:pPr>
              <w:numPr>
                <w:ilvl w:val="0"/>
                <w:numId w:val="24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наявних систем оповіщення та/або ремонт пошкоджених;</w:t>
            </w:r>
          </w:p>
          <w:p w:rsidR="007A5DFF" w:rsidRPr="00C815FC" w:rsidP="007A5DFF" w14:paraId="6F994EB4" w14:textId="77777777">
            <w:pPr>
              <w:numPr>
                <w:ilvl w:val="0"/>
                <w:numId w:val="24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навчання персоналу щодо надання першої медичної допомоги та порядку дій у разі виникнення надзвичайної ситуації;</w:t>
            </w:r>
          </w:p>
          <w:p w:rsidR="007A5DFF" w:rsidRPr="00C815FC" w:rsidP="007A5DFF" w14:paraId="676D45A0" w14:textId="77777777">
            <w:pPr>
              <w:numPr>
                <w:ilvl w:val="0"/>
                <w:numId w:val="24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Покращити програми розвитку персоналу для підготовки до потенційних ворожих дій та інших надзвичайних ситуацій, включно з навчанням персоналу щодо виявлення підозрілих дій та забезпеченням механізмів повідомлення та реагування.</w:t>
            </w:r>
          </w:p>
        </w:tc>
        <w:tc>
          <w:tcPr>
            <w:tcW w:w="1276" w:type="dxa"/>
          </w:tcPr>
          <w:p w:rsidR="007A5DFF" w:rsidRPr="00C815FC" w:rsidP="004A4AFC" w14:paraId="6614FD3D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1984" w:type="dxa"/>
          </w:tcPr>
          <w:p w:rsidR="007A5DFF" w:rsidRPr="00C815FC" w:rsidP="004A4AFC" w14:paraId="4E43FF80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будівництва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житлово-комунального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господарства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інфраструктури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 транспорту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, Управляючі компанії, ОСББ/ЖБК, балансоутримувачі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21ADB262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Розпорядження, цільові програми</w:t>
            </w:r>
          </w:p>
        </w:tc>
        <w:tc>
          <w:tcPr>
            <w:tcW w:w="993" w:type="dxa"/>
          </w:tcPr>
          <w:p w:rsidR="007A5DFF" w:rsidRPr="00C815FC" w:rsidP="004A4AFC" w14:paraId="1FA12E1F" w14:textId="77777777">
            <w:pPr>
              <w:spacing w:before="12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894E6AC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2F27FF5C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2C7C466A" w14:textId="77777777">
            <w:pPr>
              <w:numPr>
                <w:ilvl w:val="0"/>
                <w:numId w:val="67"/>
              </w:numPr>
              <w:spacing w:before="120"/>
              <w:ind w:left="5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Забезпечення резервного енергопостачання критичного обладнання</w:t>
            </w:r>
          </w:p>
        </w:tc>
        <w:tc>
          <w:tcPr>
            <w:tcW w:w="5244" w:type="dxa"/>
          </w:tcPr>
          <w:p w:rsidR="007A5DFF" w:rsidRPr="00C815FC" w:rsidP="007A5DFF" w14:paraId="36A609C1" w14:textId="77777777">
            <w:pPr>
              <w:numPr>
                <w:ilvl w:val="0"/>
                <w:numId w:val="25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наявності резервного енергопостачання;</w:t>
            </w:r>
          </w:p>
          <w:p w:rsidR="007A5DFF" w:rsidRPr="00C815FC" w:rsidP="007A5DFF" w14:paraId="1AD10243" w14:textId="77777777">
            <w:pPr>
              <w:numPr>
                <w:ilvl w:val="0"/>
                <w:numId w:val="25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в засобах резервного енергопостачання;</w:t>
            </w:r>
          </w:p>
          <w:p w:rsidR="007A5DFF" w:rsidRPr="00C815FC" w:rsidP="007A5DFF" w14:paraId="5F509350" w14:textId="77777777">
            <w:pPr>
              <w:numPr>
                <w:ilvl w:val="0"/>
                <w:numId w:val="25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Придбання або отримання у якості допомоги генератора на КНС-6Б потужністю 1500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кВА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обладнання для його підключення;</w:t>
            </w:r>
          </w:p>
          <w:p w:rsidR="007A5DFF" w:rsidRPr="00C815FC" w:rsidP="007A5DFF" w14:paraId="31304F23" w14:textId="77777777">
            <w:pPr>
              <w:numPr>
                <w:ilvl w:val="0"/>
                <w:numId w:val="25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або отримання у якості допомоги генератора на КНС-7А потужністю 1250 кВт та обладнання для його підключення;</w:t>
            </w:r>
          </w:p>
          <w:p w:rsidR="007A5DFF" w:rsidRPr="00C815FC" w:rsidP="007A5DFF" w14:paraId="2558BAD9" w14:textId="77777777">
            <w:pPr>
              <w:numPr>
                <w:ilvl w:val="0"/>
                <w:numId w:val="25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палива для створення резервів, що забезпечуватимуть роботу генераторів;</w:t>
            </w:r>
          </w:p>
          <w:p w:rsidR="007A5DFF" w:rsidRPr="00C815FC" w:rsidP="007A5DFF" w14:paraId="5804D519" w14:textId="77777777">
            <w:pPr>
              <w:numPr>
                <w:ilvl w:val="0"/>
                <w:numId w:val="25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езпечення об’єктів генераторами.</w:t>
            </w:r>
          </w:p>
        </w:tc>
        <w:tc>
          <w:tcPr>
            <w:tcW w:w="1276" w:type="dxa"/>
          </w:tcPr>
          <w:p w:rsidR="007A5DFF" w:rsidRPr="00C815FC" w:rsidP="004A4AFC" w14:paraId="4C6FF7BF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1984" w:type="dxa"/>
          </w:tcPr>
          <w:p w:rsidR="007A5DFF" w:rsidRPr="00C815FC" w:rsidP="004A4AFC" w14:paraId="7E804827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будівництва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житлово-комунального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господарства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інфраструктури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транспорту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, Управляючі компанії, ОСББ/ЖБК, балансоутримувачі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1A5D0458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Розпорядження, цільові програми</w:t>
            </w:r>
          </w:p>
        </w:tc>
        <w:tc>
          <w:tcPr>
            <w:tcW w:w="993" w:type="dxa"/>
          </w:tcPr>
          <w:p w:rsidR="007A5DFF" w:rsidRPr="00C815FC" w:rsidP="004A4AFC" w14:paraId="7D7C6753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10B8FC2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73621059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141A2B8F" w14:textId="77777777">
            <w:pPr>
              <w:numPr>
                <w:ilvl w:val="0"/>
                <w:numId w:val="67"/>
              </w:numPr>
              <w:spacing w:before="120"/>
              <w:ind w:left="5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Модернізація системи водопостачання та водовідведення</w:t>
            </w:r>
          </w:p>
        </w:tc>
        <w:tc>
          <w:tcPr>
            <w:tcW w:w="5244" w:type="dxa"/>
          </w:tcPr>
          <w:p w:rsidR="007A5DFF" w:rsidRPr="00C815FC" w:rsidP="007A5DFF" w14:paraId="4B05BEED" w14:textId="77777777">
            <w:pPr>
              <w:numPr>
                <w:ilvl w:val="1"/>
                <w:numId w:val="67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в обладнанні та його складових частин для здійснення модернізації;</w:t>
            </w:r>
          </w:p>
          <w:p w:rsidR="007A5DFF" w:rsidRPr="00C815FC" w:rsidP="007A5DFF" w14:paraId="367A69DB" w14:textId="77777777">
            <w:pPr>
              <w:numPr>
                <w:ilvl w:val="1"/>
                <w:numId w:val="67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необхідного обладнання та складових частин;</w:t>
            </w:r>
          </w:p>
          <w:p w:rsidR="007A5DFF" w:rsidRPr="00C815FC" w:rsidP="007A5DFF" w14:paraId="113BD5A5" w14:textId="77777777">
            <w:pPr>
              <w:numPr>
                <w:ilvl w:val="1"/>
                <w:numId w:val="67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насосного обладнання із встановленням регуляторів частоти обертів електродвигуна;</w:t>
            </w:r>
          </w:p>
          <w:p w:rsidR="007A5DFF" w:rsidRPr="00C815FC" w:rsidP="007A5DFF" w14:paraId="3F7FE1AD" w14:textId="77777777">
            <w:pPr>
              <w:numPr>
                <w:ilvl w:val="0"/>
                <w:numId w:val="26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запірної арматури на водопровідних мережах, очисних спорудах та водозаборах;</w:t>
            </w:r>
          </w:p>
          <w:p w:rsidR="007A5DFF" w:rsidRPr="00C815FC" w:rsidP="007A5DFF" w14:paraId="28016F4F" w14:textId="77777777">
            <w:pPr>
              <w:numPr>
                <w:ilvl w:val="0"/>
                <w:numId w:val="26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Поступовий перехід на 100% покриття водопровідної мережі приладами обліку води;</w:t>
            </w:r>
          </w:p>
          <w:p w:rsidR="007A5DFF" w:rsidRPr="00C815FC" w:rsidP="007A5DFF" w14:paraId="5A17EBC9" w14:textId="77777777">
            <w:pPr>
              <w:numPr>
                <w:ilvl w:val="0"/>
                <w:numId w:val="26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Підключення насосної станції  1-го підйому у с. Пухівка до лінії 380 кВт;</w:t>
            </w:r>
          </w:p>
          <w:p w:rsidR="007A5DFF" w:rsidRPr="00C815FC" w:rsidP="007A5DFF" w14:paraId="62BD5FCD" w14:textId="77777777">
            <w:pPr>
              <w:numPr>
                <w:ilvl w:val="0"/>
                <w:numId w:val="26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Реалізація проєкту з будівництва водозаборів підземних вод №1, №2, №3, №4 по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Металургів, 52 в м. Бровари.</w:t>
            </w:r>
          </w:p>
        </w:tc>
        <w:tc>
          <w:tcPr>
            <w:tcW w:w="1276" w:type="dxa"/>
          </w:tcPr>
          <w:p w:rsidR="007A5DFF" w:rsidRPr="00C815FC" w:rsidP="004A4AFC" w14:paraId="161116E3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1984" w:type="dxa"/>
          </w:tcPr>
          <w:p w:rsidR="007A5DFF" w:rsidRPr="00C815FC" w:rsidP="004A4AFC" w14:paraId="28A7CD05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», КП «Бровари-Благоустрій»,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Управляючі компанії, ДТЕК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48710864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Розпорядження, цільові програми, плани</w:t>
            </w:r>
          </w:p>
        </w:tc>
        <w:tc>
          <w:tcPr>
            <w:tcW w:w="993" w:type="dxa"/>
          </w:tcPr>
          <w:p w:rsidR="007A5DFF" w:rsidRPr="00C815FC" w:rsidP="004A4AFC" w14:paraId="335BBA6C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4798AE6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</w:tcPr>
          <w:p w:rsidR="007A5DFF" w:rsidRPr="00C815FC" w:rsidP="004A4AFC" w14:paraId="1396ED1B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Заходи з реагування</w:t>
            </w:r>
          </w:p>
        </w:tc>
        <w:tc>
          <w:tcPr>
            <w:tcW w:w="2381" w:type="dxa"/>
          </w:tcPr>
          <w:p w:rsidR="007A5DFF" w:rsidRPr="00C815FC" w:rsidP="007A5DFF" w14:paraId="2012E04E" w14:textId="77777777">
            <w:pPr>
              <w:numPr>
                <w:ilvl w:val="0"/>
                <w:numId w:val="66"/>
              </w:numPr>
              <w:spacing w:before="120"/>
              <w:ind w:left="33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Визначення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спроможностей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 для реагування</w:t>
            </w:r>
          </w:p>
        </w:tc>
        <w:tc>
          <w:tcPr>
            <w:tcW w:w="5244" w:type="dxa"/>
          </w:tcPr>
          <w:p w:rsidR="007A5DFF" w:rsidRPr="00C815FC" w:rsidP="004A4AFC" w14:paraId="0F33CC5B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1.1.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Визначення вимог до структури, чисельності особового складу військових формувань та правоохоронних органів, необхідних для реагування;</w:t>
            </w:r>
          </w:p>
          <w:p w:rsidR="007A5DFF" w:rsidRPr="00C815FC" w:rsidP="004A4AFC" w14:paraId="5133857E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1.2.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  <w:t xml:space="preserve">Визначення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кількісних та якісних показників озброєння та військової (спеціальної) техніки, інших видів матеріально-технічного забезпечення, військової (спеціальної) інфраструктури;</w:t>
            </w:r>
          </w:p>
          <w:p w:rsidR="007A5DFF" w:rsidRPr="00C815FC" w:rsidP="004A4AFC" w14:paraId="409502B9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1.3.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потреби в засобах та силах, необхідних для реагування;</w:t>
            </w:r>
          </w:p>
          <w:p w:rsidR="007A5DFF" w:rsidRPr="00C815FC" w:rsidP="004A4AFC" w14:paraId="2F9645C8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1.4.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плану взаємодії із сусідніми громадами для заповнення потреби при реагуванні;</w:t>
            </w:r>
          </w:p>
          <w:p w:rsidR="007A5DFF" w:rsidRPr="00C815FC" w:rsidP="004A4AFC" w14:paraId="32FFC394" w14:textId="77777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1.5.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  <w:t>Реагування на кризові ситуації за Протоколами реагування функціональних органів.</w:t>
            </w:r>
          </w:p>
        </w:tc>
        <w:tc>
          <w:tcPr>
            <w:tcW w:w="1276" w:type="dxa"/>
          </w:tcPr>
          <w:p w:rsidR="007A5DFF" w:rsidRPr="00C815FC" w:rsidP="004A4AFC" w14:paraId="18FEC7E7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0147B92C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Броварська районна державна адміністрація (Броварська районна військова адміністрація) Київської області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37976EB4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Згідно з пунктом 24 частини першої статті 25 Закону України «Про місцеві державні адміністрації»</w:t>
            </w:r>
          </w:p>
        </w:tc>
        <w:tc>
          <w:tcPr>
            <w:tcW w:w="993" w:type="dxa"/>
          </w:tcPr>
          <w:p w:rsidR="007A5DFF" w:rsidRPr="00C815FC" w:rsidP="004A4AFC" w14:paraId="477EBF31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B4F6FCE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25D27A10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16A18FDB" w14:textId="77777777">
            <w:pPr>
              <w:numPr>
                <w:ilvl w:val="0"/>
                <w:numId w:val="66"/>
              </w:numPr>
              <w:spacing w:before="120"/>
              <w:ind w:left="33" w:hanging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Забезпечення можливості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евакуації</w:t>
            </w:r>
          </w:p>
        </w:tc>
        <w:tc>
          <w:tcPr>
            <w:tcW w:w="5244" w:type="dxa"/>
          </w:tcPr>
          <w:p w:rsidR="007A5DFF" w:rsidRPr="00C815FC" w:rsidP="004A4AFC" w14:paraId="4F188871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2.1.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Визначити порядок дій при евакуації персоналу;</w:t>
            </w:r>
          </w:p>
          <w:p w:rsidR="007A5DFF" w:rsidRPr="00C815FC" w:rsidP="004A4AFC" w14:paraId="7B37469E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2.2.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Перевірити наявність ресурсів для здійснення евакуації персоналу (автобуси, човни тощо);</w:t>
            </w:r>
          </w:p>
          <w:p w:rsidR="007A5DFF" w:rsidRPr="00C815FC" w:rsidP="004A4AFC" w14:paraId="129D0700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2.3.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Перевірити наявність житла для евакуйованого персоналу;</w:t>
            </w:r>
          </w:p>
          <w:p w:rsidR="007A5DFF" w:rsidRPr="00C815FC" w:rsidP="004A4AFC" w14:paraId="2D22382F" w14:textId="77777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2.4.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Забезпечення евакуйованого персоналу водою, продовольством та житлом.</w:t>
            </w:r>
          </w:p>
        </w:tc>
        <w:tc>
          <w:tcPr>
            <w:tcW w:w="1276" w:type="dxa"/>
          </w:tcPr>
          <w:p w:rsidR="007A5DFF" w:rsidRPr="00C815FC" w:rsidP="004A4AFC" w14:paraId="14D22ADC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5DC2EDD8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Броварська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районна державна адміністрація (Броварська районна військова адміністрація) Київської області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1A2B72F4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Згідно з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пунктом 24 частини першої статті 25 Закону України «Про місцеві державні адміністрації»</w:t>
            </w:r>
          </w:p>
        </w:tc>
        <w:tc>
          <w:tcPr>
            <w:tcW w:w="993" w:type="dxa"/>
          </w:tcPr>
          <w:p w:rsidR="007A5DFF" w:rsidRPr="00C815FC" w:rsidP="004A4AFC" w14:paraId="0FE5BB4F" w14:textId="77777777">
            <w:pPr>
              <w:spacing w:before="12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EE3AD9F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</w:tcPr>
          <w:p w:rsidR="007A5DFF" w:rsidRPr="00C815FC" w:rsidP="004A4AFC" w14:paraId="31813530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Заходи з відновлення</w:t>
            </w:r>
          </w:p>
        </w:tc>
        <w:tc>
          <w:tcPr>
            <w:tcW w:w="2381" w:type="dxa"/>
          </w:tcPr>
          <w:p w:rsidR="007A5DFF" w:rsidRPr="00C815FC" w:rsidP="007A5DFF" w14:paraId="44E235F3" w14:textId="77777777">
            <w:pPr>
              <w:numPr>
                <w:ilvl w:val="0"/>
                <w:numId w:val="2"/>
              </w:numPr>
              <w:spacing w:before="120"/>
              <w:ind w:left="33" w:hanging="28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Забезпечити можливість відновлення водопостачання без зовнішнього живлення.</w:t>
            </w:r>
          </w:p>
        </w:tc>
        <w:tc>
          <w:tcPr>
            <w:tcW w:w="5244" w:type="dxa"/>
          </w:tcPr>
          <w:p w:rsidR="007A5DFF" w:rsidRPr="00C815FC" w:rsidP="007A5DFF" w14:paraId="353C7801" w14:textId="77777777">
            <w:pPr>
              <w:numPr>
                <w:ilvl w:val="1"/>
                <w:numId w:val="2"/>
              </w:numPr>
              <w:ind w:left="9" w:hanging="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Забезпечити наявність генеруючих установок, які можуть перезапускатися без стороннього живлення та без підключення до потужності.</w:t>
            </w:r>
          </w:p>
        </w:tc>
        <w:tc>
          <w:tcPr>
            <w:tcW w:w="1276" w:type="dxa"/>
          </w:tcPr>
          <w:p w:rsidR="007A5DFF" w:rsidRPr="00C815FC" w:rsidP="004A4AFC" w14:paraId="6BD49833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1984" w:type="dxa"/>
          </w:tcPr>
          <w:p w:rsidR="007A5DFF" w:rsidRPr="00C815FC" w:rsidP="004A4AFC" w14:paraId="55DFD490" w14:textId="77777777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Надавачі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A5DFF" w:rsidRPr="00C815FC" w:rsidP="004A4AFC" w14:paraId="06EA71DB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», КП «Бровари-Благоустрій», ТОВ «АКВАСЕРВІС»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6B1E945B" w14:textId="77777777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 кошти, цільові програми</w:t>
            </w:r>
          </w:p>
        </w:tc>
        <w:tc>
          <w:tcPr>
            <w:tcW w:w="993" w:type="dxa"/>
          </w:tcPr>
          <w:p w:rsidR="007A5DFF" w:rsidRPr="00C815FC" w:rsidP="004A4AFC" w14:paraId="0F2E50F0" w14:textId="77777777">
            <w:pPr>
              <w:spacing w:before="12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16F0F30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7F88B3EE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3A6BA560" w14:textId="77777777">
            <w:pPr>
              <w:numPr>
                <w:ilvl w:val="0"/>
                <w:numId w:val="2"/>
              </w:numPr>
              <w:spacing w:before="120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Створення резервів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комлектуючих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 частин, необхідних для ремонту та відновлення водопостачання/ водовідведення</w:t>
            </w:r>
          </w:p>
        </w:tc>
        <w:tc>
          <w:tcPr>
            <w:tcW w:w="5244" w:type="dxa"/>
          </w:tcPr>
          <w:p w:rsidR="007A5DFF" w:rsidRPr="00C815FC" w:rsidP="007A5DFF" w14:paraId="4EB42DB7" w14:textId="77777777">
            <w:pPr>
              <w:numPr>
                <w:ilvl w:val="1"/>
                <w:numId w:val="2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наявності готових запасних частин, матеріалів і засобів доставки;</w:t>
            </w:r>
          </w:p>
          <w:p w:rsidR="007A5DFF" w:rsidRPr="00C815FC" w:rsidP="007A5DFF" w14:paraId="714A9726" w14:textId="77777777">
            <w:pPr>
              <w:numPr>
                <w:ilvl w:val="1"/>
                <w:numId w:val="2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в готових запасних частинах, матеріалах і засобах доставки, необхідних для якнайшвидшого відновлення об’єктів;</w:t>
            </w:r>
          </w:p>
          <w:p w:rsidR="007A5DFF" w:rsidRPr="00C815FC" w:rsidP="007A5DFF" w14:paraId="55958C8E" w14:textId="77777777">
            <w:pPr>
              <w:numPr>
                <w:ilvl w:val="1"/>
                <w:numId w:val="2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забезпечення об’єктів готовими запасними частинами, матеріалами і засобами доставки;</w:t>
            </w:r>
          </w:p>
          <w:p w:rsidR="007A5DFF" w:rsidRPr="00C815FC" w:rsidP="007A5DFF" w14:paraId="653E183F" w14:textId="77777777">
            <w:pPr>
              <w:numPr>
                <w:ilvl w:val="1"/>
                <w:numId w:val="2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Застосування резервів для якнайшвидшого відновлення об’єктів та надання послуги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водопостачання/ водовідведення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A5DFF" w:rsidRPr="00C815FC" w:rsidP="004A4AFC" w14:paraId="1A3521F9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1984" w:type="dxa"/>
          </w:tcPr>
          <w:p w:rsidR="007A5DFF" w:rsidRPr="00C815FC" w:rsidP="004A4AFC" w14:paraId="03651551" w14:textId="7777777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адавачі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A5DFF" w:rsidRPr="00C815FC" w:rsidP="004A4AFC" w14:paraId="57EF7F51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», КП «Бровари-Благоустрій», ТОВ «АКВАСЕРВІС»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19F43DCA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 кошти, цільові програми</w:t>
            </w:r>
          </w:p>
        </w:tc>
        <w:tc>
          <w:tcPr>
            <w:tcW w:w="993" w:type="dxa"/>
          </w:tcPr>
          <w:p w:rsidR="007A5DFF" w:rsidRPr="00C815FC" w:rsidP="004A4AFC" w14:paraId="49F32F6C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7A97999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301" w:type="dxa"/>
            <w:gridSpan w:val="8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6CA66CD1" w14:textId="777777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ПОСЛУГА ПРОДОВОЛЬЧОГО ЗАБЕЗПЕЧЕННЯ</w:t>
            </w:r>
          </w:p>
        </w:tc>
      </w:tr>
      <w:tr w14:paraId="70280B9C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301" w:type="dxa"/>
            <w:gridSpan w:val="8"/>
            <w:shd w:val="clear" w:color="auto" w:fill="DBE5F1" w:themeFill="accent1" w:themeFillTint="33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4BAABD2C" w14:textId="77777777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Перелік об’єктів, які забезпечують життєдіяльність: </w:t>
            </w:r>
            <w:r w:rsidRPr="00C81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ТОВ "Київський пекарний дім"; ДП " </w:t>
            </w:r>
            <w:r w:rsidRPr="00C81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Зееландія</w:t>
            </w:r>
            <w:r w:rsidRPr="00C81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"; ТОВ "Зернопереробний комплекс" </w:t>
            </w:r>
          </w:p>
        </w:tc>
      </w:tr>
      <w:tr w14:paraId="3379E5EF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</w:tcPr>
          <w:p w:rsidR="007A5DFF" w:rsidRPr="00C815FC" w:rsidP="004A4AFC" w14:paraId="4B525C94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Превентивні заходи</w:t>
            </w:r>
          </w:p>
        </w:tc>
        <w:tc>
          <w:tcPr>
            <w:tcW w:w="2381" w:type="dxa"/>
          </w:tcPr>
          <w:p w:rsidR="007A5DFF" w:rsidRPr="00C815FC" w:rsidP="007A5DFF" w14:paraId="31B66BD0" w14:textId="77777777">
            <w:pPr>
              <w:numPr>
                <w:ilvl w:val="0"/>
                <w:numId w:val="27"/>
              </w:numPr>
              <w:spacing w:before="120"/>
              <w:ind w:left="33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Організація безпосереднього протиповітряного прикриття силами ЗСУ, НГУ</w:t>
            </w:r>
          </w:p>
        </w:tc>
        <w:tc>
          <w:tcPr>
            <w:tcW w:w="5244" w:type="dxa"/>
          </w:tcPr>
          <w:p w:rsidR="007A5DFF" w:rsidRPr="00C815FC" w:rsidP="007A5DFF" w14:paraId="3E52E06E" w14:textId="77777777">
            <w:pPr>
              <w:numPr>
                <w:ilvl w:val="0"/>
                <w:numId w:val="28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фактичного стану забезпеченості мобільних вогневих груп ППО;</w:t>
            </w:r>
          </w:p>
          <w:p w:rsidR="007A5DFF" w:rsidRPr="00C815FC" w:rsidP="007A5DFF" w14:paraId="0C78BBF3" w14:textId="77777777">
            <w:pPr>
              <w:numPr>
                <w:ilvl w:val="0"/>
                <w:numId w:val="28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додатковому обладнанні;</w:t>
            </w:r>
          </w:p>
          <w:p w:rsidR="007A5DFF" w:rsidRPr="00C815FC" w:rsidP="007A5DFF" w14:paraId="0ECF008B" w14:textId="77777777">
            <w:pPr>
              <w:numPr>
                <w:ilvl w:val="0"/>
                <w:numId w:val="28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оснащення мобільних вогневих груп ППО додатковим обладнанням.</w:t>
            </w:r>
          </w:p>
        </w:tc>
        <w:tc>
          <w:tcPr>
            <w:tcW w:w="1276" w:type="dxa"/>
          </w:tcPr>
          <w:p w:rsidR="007A5DFF" w:rsidRPr="00C815FC" w:rsidP="004A4AFC" w14:paraId="36548EDE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ороку </w:t>
            </w:r>
          </w:p>
        </w:tc>
        <w:tc>
          <w:tcPr>
            <w:tcW w:w="1984" w:type="dxa"/>
          </w:tcPr>
          <w:p w:rsidR="007A5DFF" w:rsidRPr="00C815FC" w:rsidP="004A4AFC" w14:paraId="64F9A13B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Броварська районна державна адміністрація (Броварська районна військова адміністрація) Київської області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57AB3251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Згідно з пунктом 24 частини першої статті 25 Закону України «Про місцеві державні адміністрації» </w:t>
            </w:r>
          </w:p>
        </w:tc>
        <w:tc>
          <w:tcPr>
            <w:tcW w:w="993" w:type="dxa"/>
          </w:tcPr>
          <w:p w:rsidR="007A5DFF" w:rsidRPr="00C815FC" w:rsidP="004A4AFC" w14:paraId="5DB63E1E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7965166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6676BDEA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7460ADC5" w14:textId="77777777">
            <w:pPr>
              <w:numPr>
                <w:ilvl w:val="0"/>
                <w:numId w:val="27"/>
              </w:numPr>
              <w:spacing w:before="120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фізичного захисту об’єктів</w:t>
            </w:r>
          </w:p>
        </w:tc>
        <w:tc>
          <w:tcPr>
            <w:tcW w:w="5244" w:type="dxa"/>
          </w:tcPr>
          <w:p w:rsidR="007A5DFF" w:rsidRPr="00C815FC" w:rsidP="007A5DFF" w14:paraId="3BF750C2" w14:textId="77777777">
            <w:pPr>
              <w:numPr>
                <w:ilvl w:val="0"/>
                <w:numId w:val="29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наявності та стану наземної охорони та оборони об’єктів;</w:t>
            </w:r>
          </w:p>
          <w:p w:rsidR="007A5DFF" w:rsidRPr="00C815FC" w:rsidP="007A5DFF" w14:paraId="19E1F56D" w14:textId="77777777">
            <w:pPr>
              <w:numPr>
                <w:ilvl w:val="0"/>
                <w:numId w:val="29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силах охорони та оборони об’єктів;</w:t>
            </w:r>
          </w:p>
          <w:p w:rsidR="007A5DFF" w:rsidRPr="00C815FC" w:rsidP="007A5DFF" w14:paraId="0C910D00" w14:textId="77777777">
            <w:pPr>
              <w:numPr>
                <w:ilvl w:val="0"/>
                <w:numId w:val="29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наземної охорони та оборони силами НПУ, НГУ, ВОХОР, ЗСУ;</w:t>
            </w:r>
          </w:p>
          <w:p w:rsidR="007A5DFF" w:rsidRPr="00C815FC" w:rsidP="007A5DFF" w14:paraId="33AC6788" w14:textId="77777777">
            <w:pPr>
              <w:numPr>
                <w:ilvl w:val="0"/>
                <w:numId w:val="29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цілодобової охорони об’єктів;</w:t>
            </w:r>
          </w:p>
          <w:p w:rsidR="007A5DFF" w:rsidRPr="00C815FC" w:rsidP="007A5DFF" w14:paraId="780C9E86" w14:textId="77777777">
            <w:pPr>
              <w:numPr>
                <w:ilvl w:val="0"/>
                <w:numId w:val="29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стану комплексної системи безпеки (відеоспостереження, сигналізація тощо);</w:t>
            </w:r>
          </w:p>
          <w:p w:rsidR="007A5DFF" w:rsidRPr="00C815FC" w:rsidP="007A5DFF" w14:paraId="172A7DE2" w14:textId="77777777">
            <w:pPr>
              <w:numPr>
                <w:ilvl w:val="0"/>
                <w:numId w:val="29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Визначення стану забезпеченості мобільних вогневих груп необхідним обладнанням; </w:t>
            </w:r>
          </w:p>
          <w:p w:rsidR="007A5DFF" w:rsidRPr="00C815FC" w:rsidP="007A5DFF" w14:paraId="542BFCAD" w14:textId="77777777">
            <w:pPr>
              <w:numPr>
                <w:ilvl w:val="0"/>
                <w:numId w:val="29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Формування потреби у додатковому обладнанні для мобільних вогневих груп та матеріалів, необхідних для ремонту/створення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комплексної системи безпеки;</w:t>
            </w:r>
          </w:p>
          <w:p w:rsidR="007A5DFF" w:rsidRPr="00C815FC" w:rsidP="007A5DFF" w14:paraId="36894DD1" w14:textId="77777777">
            <w:pPr>
              <w:numPr>
                <w:ilvl w:val="0"/>
                <w:numId w:val="29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оснащення мобільних вогневих груп додатковим обладнанням;</w:t>
            </w:r>
          </w:p>
          <w:p w:rsidR="007A5DFF" w:rsidRPr="00C815FC" w:rsidP="007A5DFF" w14:paraId="4C7B2404" w14:textId="77777777">
            <w:pPr>
              <w:numPr>
                <w:ilvl w:val="0"/>
                <w:numId w:val="29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оснащення об’єктів комплексною системою безпеки.</w:t>
            </w:r>
          </w:p>
        </w:tc>
        <w:tc>
          <w:tcPr>
            <w:tcW w:w="1276" w:type="dxa"/>
          </w:tcPr>
          <w:p w:rsidR="007A5DFF" w:rsidRPr="00C815FC" w:rsidP="004A4AFC" w14:paraId="2B21862B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4024FBDC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Броварська районна державна адміністрація (Броварська районна військова адміністрація) Київської області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65DEF166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Згідно з пунктом 24 частини першої статті 25 Закону України «Про місцеві державні адміністрації»</w:t>
            </w:r>
          </w:p>
        </w:tc>
        <w:tc>
          <w:tcPr>
            <w:tcW w:w="993" w:type="dxa"/>
          </w:tcPr>
          <w:p w:rsidR="007A5DFF" w:rsidRPr="00C815FC" w:rsidP="004A4AFC" w14:paraId="34DFC506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8662BF1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2CBD5DD8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77C5EC40" w14:textId="77777777">
            <w:pPr>
              <w:numPr>
                <w:ilvl w:val="0"/>
                <w:numId w:val="27"/>
              </w:numPr>
              <w:spacing w:before="120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інженерного захисту критичних елементів на об’єктах</w:t>
            </w:r>
          </w:p>
        </w:tc>
        <w:tc>
          <w:tcPr>
            <w:tcW w:w="5244" w:type="dxa"/>
          </w:tcPr>
          <w:p w:rsidR="007A5DFF" w:rsidRPr="00C815FC" w:rsidP="007A5DFF" w14:paraId="7F0549B5" w14:textId="77777777">
            <w:pPr>
              <w:numPr>
                <w:ilvl w:val="0"/>
                <w:numId w:val="30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Визначення стану захищеності об’єктів інженерними засобами захисту;</w:t>
            </w:r>
          </w:p>
          <w:p w:rsidR="007A5DFF" w:rsidRPr="00C815FC" w:rsidP="007A5DFF" w14:paraId="08E9ABB4" w14:textId="77777777">
            <w:pPr>
              <w:numPr>
                <w:ilvl w:val="0"/>
                <w:numId w:val="30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потреби в засобах інженерного захисту;</w:t>
            </w:r>
          </w:p>
          <w:p w:rsidR="007A5DFF" w:rsidRPr="00C815FC" w:rsidP="007A5DFF" w14:paraId="076CD11D" w14:textId="77777777">
            <w:pPr>
              <w:numPr>
                <w:ilvl w:val="0"/>
                <w:numId w:val="30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Закупівля необхідних засобів та матеріалів;</w:t>
            </w:r>
          </w:p>
          <w:p w:rsidR="007A5DFF" w:rsidRPr="00C815FC" w:rsidP="007A5DFF" w14:paraId="749F0C44" w14:textId="77777777">
            <w:pPr>
              <w:numPr>
                <w:ilvl w:val="0"/>
                <w:numId w:val="30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Оснащення критичних елементів об’єктів інженерними засобами захисту.</w:t>
            </w:r>
          </w:p>
        </w:tc>
        <w:tc>
          <w:tcPr>
            <w:tcW w:w="1276" w:type="dxa"/>
          </w:tcPr>
          <w:p w:rsidR="007A5DFF" w:rsidRPr="00C815FC" w:rsidP="004A4AFC" w14:paraId="14A67887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Щ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516A9534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Суб’єкти підприємницької діяльності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00EAD4A5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7A5DFF" w:rsidRPr="00C815FC" w:rsidP="004A4AFC" w14:paraId="4BEC6EDF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A6029FB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12B09412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1B2D3003" w14:textId="77777777">
            <w:pPr>
              <w:numPr>
                <w:ilvl w:val="0"/>
                <w:numId w:val="27"/>
              </w:numPr>
              <w:spacing w:before="120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цивільного захисту об’єктів</w:t>
            </w:r>
          </w:p>
        </w:tc>
        <w:tc>
          <w:tcPr>
            <w:tcW w:w="5244" w:type="dxa"/>
          </w:tcPr>
          <w:p w:rsidR="007A5DFF" w:rsidRPr="00C815FC" w:rsidP="007A5DFF" w14:paraId="2F97A2C8" w14:textId="77777777">
            <w:pPr>
              <w:numPr>
                <w:ilvl w:val="0"/>
                <w:numId w:val="31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наявності та стану укриттів на об’єктах;</w:t>
            </w:r>
          </w:p>
          <w:p w:rsidR="007A5DFF" w:rsidRPr="00C815FC" w:rsidP="007A5DFF" w14:paraId="674C9544" w14:textId="77777777">
            <w:pPr>
              <w:numPr>
                <w:ilvl w:val="0"/>
                <w:numId w:val="31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систем оповіщення;</w:t>
            </w:r>
          </w:p>
          <w:p w:rsidR="007A5DFF" w:rsidRPr="00C815FC" w:rsidP="007A5DFF" w14:paraId="00073DE7" w14:textId="77777777">
            <w:pPr>
              <w:numPr>
                <w:ilvl w:val="0"/>
                <w:numId w:val="31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матеріалах, необхідних для забезпечення цивільного захисту об’єктів;</w:t>
            </w:r>
          </w:p>
          <w:p w:rsidR="007A5DFF" w:rsidRPr="00C815FC" w:rsidP="007A5DFF" w14:paraId="30DE857C" w14:textId="77777777">
            <w:pPr>
              <w:numPr>
                <w:ilvl w:val="0"/>
                <w:numId w:val="31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Оснащення наявних укриттів;</w:t>
            </w:r>
          </w:p>
          <w:p w:rsidR="007A5DFF" w:rsidRPr="00C815FC" w:rsidP="007A5DFF" w14:paraId="63B3B339" w14:textId="77777777">
            <w:pPr>
              <w:numPr>
                <w:ilvl w:val="0"/>
                <w:numId w:val="31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Оснащення потенційних укриттів;</w:t>
            </w:r>
          </w:p>
          <w:p w:rsidR="007A5DFF" w:rsidRPr="00C815FC" w:rsidP="007A5DFF" w14:paraId="7FEF7CA0" w14:textId="77777777">
            <w:pPr>
              <w:numPr>
                <w:ilvl w:val="0"/>
                <w:numId w:val="31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 укриттів у разі їх відсутності;</w:t>
            </w:r>
          </w:p>
          <w:p w:rsidR="007A5DFF" w:rsidRPr="00C815FC" w:rsidP="007A5DFF" w14:paraId="218D0E0C" w14:textId="77777777">
            <w:pPr>
              <w:numPr>
                <w:ilvl w:val="0"/>
                <w:numId w:val="31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наявних систем оповіщення та/або ремонт пошкоджених;</w:t>
            </w:r>
          </w:p>
          <w:p w:rsidR="007A5DFF" w:rsidRPr="00C815FC" w:rsidP="007A5DFF" w14:paraId="3B60A904" w14:textId="77777777">
            <w:pPr>
              <w:numPr>
                <w:ilvl w:val="0"/>
                <w:numId w:val="31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навчання персоналу щодо надання першої медичної допомоги та порядку дій у разі виникнення надзвичайної ситуації;</w:t>
            </w:r>
          </w:p>
          <w:p w:rsidR="007A5DFF" w:rsidRPr="00C815FC" w:rsidP="007A5DFF" w14:paraId="0640E34F" w14:textId="77777777">
            <w:pPr>
              <w:numPr>
                <w:ilvl w:val="0"/>
                <w:numId w:val="31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Покращити програми розвитку персоналу для підготовки до потенційних ворожих дій та інших надзвичайних ситуацій, включно з навчанням персоналу щодо виявлення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підозрілих дій та забезпеченням механізмів повідомлення та реагування.</w:t>
            </w:r>
          </w:p>
        </w:tc>
        <w:tc>
          <w:tcPr>
            <w:tcW w:w="1276" w:type="dxa"/>
          </w:tcPr>
          <w:p w:rsidR="007A5DFF" w:rsidRPr="00C815FC" w:rsidP="004A4AFC" w14:paraId="025D13E9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Щ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47D18CB0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Суб’єкти підприємницької діяльності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4D0F1AE0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7A5DFF" w:rsidRPr="00C815FC" w:rsidP="004A4AFC" w14:paraId="5786D32C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031423C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06376AB6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17058A82" w14:textId="77777777">
            <w:pPr>
              <w:numPr>
                <w:ilvl w:val="0"/>
                <w:numId w:val="27"/>
              </w:numPr>
              <w:spacing w:before="120"/>
              <w:ind w:left="5" w:firstLine="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резервного енергопостачання критичного обладнання</w:t>
            </w:r>
          </w:p>
        </w:tc>
        <w:tc>
          <w:tcPr>
            <w:tcW w:w="5244" w:type="dxa"/>
          </w:tcPr>
          <w:p w:rsidR="007A5DFF" w:rsidRPr="00C815FC" w:rsidP="007A5DFF" w14:paraId="4A9F4E28" w14:textId="77777777">
            <w:pPr>
              <w:numPr>
                <w:ilvl w:val="0"/>
                <w:numId w:val="32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наявності резервного енергопостачання;</w:t>
            </w:r>
          </w:p>
          <w:p w:rsidR="007A5DFF" w:rsidRPr="00C815FC" w:rsidP="007A5DFF" w14:paraId="5C861F75" w14:textId="77777777">
            <w:pPr>
              <w:numPr>
                <w:ilvl w:val="0"/>
                <w:numId w:val="32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в засобах резервного енергопостачання;</w:t>
            </w:r>
          </w:p>
          <w:p w:rsidR="007A5DFF" w:rsidRPr="00C815FC" w:rsidP="007A5DFF" w14:paraId="2071BDEC" w14:textId="77777777">
            <w:pPr>
              <w:numPr>
                <w:ilvl w:val="0"/>
                <w:numId w:val="32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Придбання або отримання у якості допомоги генератора на КНС-6Б потужністю 1500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кВА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обладнання для його підключення;</w:t>
            </w:r>
          </w:p>
          <w:p w:rsidR="007A5DFF" w:rsidRPr="00C815FC" w:rsidP="007A5DFF" w14:paraId="468FC839" w14:textId="77777777">
            <w:pPr>
              <w:numPr>
                <w:ilvl w:val="0"/>
                <w:numId w:val="32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або отримання у якості допомоги генератора на КНС-7А потужністю 1250 кВт та обладнання для його підключення;</w:t>
            </w:r>
          </w:p>
          <w:p w:rsidR="007A5DFF" w:rsidRPr="00C815FC" w:rsidP="007A5DFF" w14:paraId="1501031C" w14:textId="77777777">
            <w:pPr>
              <w:numPr>
                <w:ilvl w:val="0"/>
                <w:numId w:val="32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палива для створення резервів, що забезпечуватимуть роботу генераторів;</w:t>
            </w:r>
          </w:p>
          <w:p w:rsidR="007A5DFF" w:rsidRPr="00C815FC" w:rsidP="007A5DFF" w14:paraId="62E0F8D3" w14:textId="77777777">
            <w:pPr>
              <w:numPr>
                <w:ilvl w:val="0"/>
                <w:numId w:val="32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езпечення об’єктів генераторами.</w:t>
            </w:r>
          </w:p>
        </w:tc>
        <w:tc>
          <w:tcPr>
            <w:tcW w:w="1276" w:type="dxa"/>
          </w:tcPr>
          <w:p w:rsidR="007A5DFF" w:rsidRPr="00C815FC" w:rsidP="004A4AFC" w14:paraId="6BB6A492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Щ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58D460C9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Суб’єкти підприємницької діяльності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6691E0A6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7A5DFF" w:rsidRPr="00C815FC" w:rsidP="004A4AFC" w14:paraId="05643426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1BC1C7B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2CC6ECFC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667E5CAE" w14:textId="77777777">
            <w:pPr>
              <w:numPr>
                <w:ilvl w:val="0"/>
                <w:numId w:val="27"/>
              </w:numPr>
              <w:spacing w:before="120"/>
              <w:ind w:left="5" w:firstLine="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Модернізація системи виробництва</w:t>
            </w:r>
          </w:p>
        </w:tc>
        <w:tc>
          <w:tcPr>
            <w:tcW w:w="5244" w:type="dxa"/>
          </w:tcPr>
          <w:p w:rsidR="007A5DFF" w:rsidRPr="00C815FC" w:rsidP="007A5DFF" w14:paraId="18B676F3" w14:textId="77777777">
            <w:pPr>
              <w:numPr>
                <w:ilvl w:val="0"/>
                <w:numId w:val="3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стану обладнання на виробництві;</w:t>
            </w:r>
          </w:p>
          <w:p w:rsidR="007A5DFF" w:rsidRPr="00C815FC" w:rsidP="007A5DFF" w14:paraId="2AFE05CC" w14:textId="77777777">
            <w:pPr>
              <w:numPr>
                <w:ilvl w:val="0"/>
                <w:numId w:val="3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стану складів зберігання продукції;</w:t>
            </w:r>
          </w:p>
          <w:p w:rsidR="007A5DFF" w:rsidRPr="00C815FC" w:rsidP="007A5DFF" w14:paraId="6E311B74" w14:textId="77777777">
            <w:pPr>
              <w:numPr>
                <w:ilvl w:val="0"/>
                <w:numId w:val="3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в обладнанні та його складових частинах для здійснення модернізації;</w:t>
            </w:r>
          </w:p>
          <w:p w:rsidR="007A5DFF" w:rsidRPr="00C815FC" w:rsidP="007A5DFF" w14:paraId="6CF721C1" w14:textId="77777777">
            <w:pPr>
              <w:numPr>
                <w:ilvl w:val="0"/>
                <w:numId w:val="3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обладнання, необхідного для виробництва продукції;</w:t>
            </w:r>
          </w:p>
          <w:p w:rsidR="007A5DFF" w:rsidRPr="00C815FC" w:rsidP="007A5DFF" w14:paraId="5FD6E99D" w14:textId="77777777">
            <w:pPr>
              <w:numPr>
                <w:ilvl w:val="0"/>
                <w:numId w:val="3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складів;</w:t>
            </w:r>
          </w:p>
          <w:p w:rsidR="007A5DFF" w:rsidRPr="00C815FC" w:rsidP="007A5DFF" w14:paraId="52CD19A8" w14:textId="77777777">
            <w:pPr>
              <w:numPr>
                <w:ilvl w:val="0"/>
                <w:numId w:val="3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Запобігання або зменшення обсягів утворення відходів, забезпечити їх збирання, своєчасне транспортування, зберігання, сортування, переробку, утилізацію та видалення, знешкодження та захоронення, а також запобігати негативному впливу відходів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на довкілля та здоров'я людей;</w:t>
            </w:r>
          </w:p>
          <w:p w:rsidR="007A5DFF" w:rsidRPr="00C815FC" w:rsidP="007A5DFF" w14:paraId="215E11E8" w14:textId="77777777">
            <w:pPr>
              <w:numPr>
                <w:ilvl w:val="0"/>
                <w:numId w:val="3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Відновити харчові та водопровідні системи та мережі;</w:t>
            </w:r>
          </w:p>
          <w:p w:rsidR="007A5DFF" w:rsidRPr="00C815FC" w:rsidP="007A5DFF" w14:paraId="30E1BCE3" w14:textId="77777777">
            <w:pPr>
              <w:numPr>
                <w:ilvl w:val="0"/>
                <w:numId w:val="3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Модернізувати систему виробництва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 управління виробництвом.</w:t>
            </w:r>
          </w:p>
        </w:tc>
        <w:tc>
          <w:tcPr>
            <w:tcW w:w="1276" w:type="dxa"/>
          </w:tcPr>
          <w:p w:rsidR="007A5DFF" w:rsidRPr="00C815FC" w:rsidP="004A4AFC" w14:paraId="5F180E81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Щ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38F153FD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Суб’єкти підприємницької діяльності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1D2FE4AF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7A5DFF" w:rsidRPr="00C815FC" w:rsidP="004A4AFC" w14:paraId="5164C3E6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9DF2A9A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489D70ED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5B02108F" w14:textId="77777777">
            <w:pPr>
              <w:numPr>
                <w:ilvl w:val="0"/>
                <w:numId w:val="27"/>
              </w:numPr>
              <w:spacing w:before="120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Покращити механізми забезпечення безпечного постачання продовольства та води</w:t>
            </w:r>
          </w:p>
        </w:tc>
        <w:tc>
          <w:tcPr>
            <w:tcW w:w="5244" w:type="dxa"/>
          </w:tcPr>
          <w:p w:rsidR="007A5DFF" w:rsidRPr="00C815FC" w:rsidP="007A5DFF" w14:paraId="79421D54" w14:textId="77777777">
            <w:pPr>
              <w:numPr>
                <w:ilvl w:val="0"/>
                <w:numId w:val="34"/>
              </w:numPr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Проводити консультації з виробниками харчових і водних продуктів, виробниками, дистриб’юторами та заінтересованими сторонами ланцюга постачання;</w:t>
            </w:r>
          </w:p>
          <w:p w:rsidR="007A5DFF" w:rsidRPr="00C815FC" w:rsidP="007A5DFF" w14:paraId="786C287B" w14:textId="77777777">
            <w:pPr>
              <w:numPr>
                <w:ilvl w:val="0"/>
                <w:numId w:val="34"/>
              </w:numPr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Об’єднати суб’єктів державного та приватного секторів для досягнення стратегічних пріоритетів щодо забезпечення екстреного постачання продовольства та води в райони, які їх потребують</w:t>
            </w:r>
          </w:p>
          <w:p w:rsidR="007A5DFF" w:rsidRPr="00C815FC" w:rsidP="007A5DFF" w14:paraId="6859F862" w14:textId="77777777">
            <w:pPr>
              <w:numPr>
                <w:ilvl w:val="0"/>
                <w:numId w:val="34"/>
              </w:numPr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Визначити та створити альтернативні джерела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остачання продовольства та води.</w:t>
            </w:r>
          </w:p>
        </w:tc>
        <w:tc>
          <w:tcPr>
            <w:tcW w:w="1276" w:type="dxa"/>
          </w:tcPr>
          <w:p w:rsidR="007A5DFF" w:rsidRPr="00C815FC" w:rsidP="004A4AFC" w14:paraId="5E9AB1A0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Щ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6F9D21C9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Броварська міська рада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7A2613FA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потребує</w:t>
            </w:r>
          </w:p>
        </w:tc>
        <w:tc>
          <w:tcPr>
            <w:tcW w:w="993" w:type="dxa"/>
          </w:tcPr>
          <w:p w:rsidR="007A5DFF" w:rsidRPr="00C815FC" w:rsidP="004A4AFC" w14:paraId="21D956AF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BA2BE11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</w:tcPr>
          <w:p w:rsidR="007A5DFF" w:rsidRPr="00C815FC" w:rsidP="004A4AFC" w14:paraId="7172242B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Заходи з реагування</w:t>
            </w:r>
          </w:p>
        </w:tc>
        <w:tc>
          <w:tcPr>
            <w:tcW w:w="2381" w:type="dxa"/>
          </w:tcPr>
          <w:p w:rsidR="007A5DFF" w:rsidRPr="00C815FC" w:rsidP="007A5DFF" w14:paraId="42E277BD" w14:textId="77777777">
            <w:pPr>
              <w:numPr>
                <w:ilvl w:val="0"/>
                <w:numId w:val="35"/>
              </w:numPr>
              <w:spacing w:before="120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Визначення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спроможностей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 для реагування</w:t>
            </w:r>
          </w:p>
        </w:tc>
        <w:tc>
          <w:tcPr>
            <w:tcW w:w="5244" w:type="dxa"/>
          </w:tcPr>
          <w:p w:rsidR="007A5DFF" w:rsidRPr="00C815FC" w:rsidP="004A4AFC" w14:paraId="051859B7" w14:textId="7777777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1.1.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Визначення вимог до структури, чисельності особового складу військових формувань та правоохоронних органів, необхідних для реагування;</w:t>
            </w:r>
          </w:p>
          <w:p w:rsidR="007A5DFF" w:rsidRPr="00C815FC" w:rsidP="004A4AFC" w14:paraId="123682F9" w14:textId="7777777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1.2.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  <w:t xml:space="preserve">Визначення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кількісних та якісних показників озброєння та військової (спеціальної) техніки, інших видів матеріально-технічного забезпечення, військової (спеціальної) інфраструктури;</w:t>
            </w:r>
          </w:p>
          <w:p w:rsidR="007A5DFF" w:rsidRPr="00C815FC" w:rsidP="004A4AFC" w14:paraId="504B347E" w14:textId="7777777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1.3.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потреби в засобах та силах, необхідних для реагування;</w:t>
            </w:r>
          </w:p>
          <w:p w:rsidR="007A5DFF" w:rsidRPr="00C815FC" w:rsidP="004A4AFC" w14:paraId="70299BCA" w14:textId="7777777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1.4.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плану взаємодії із сусідніми громадами для заповнення потреби при реагуванні;</w:t>
            </w:r>
          </w:p>
          <w:p w:rsidR="007A5DFF" w:rsidRPr="00C815FC" w:rsidP="004A4AFC" w14:paraId="074A824E" w14:textId="7777777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1.5.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Реагування на кризові ситуації за Протоколами реагування функціональних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органів.</w:t>
            </w:r>
          </w:p>
        </w:tc>
        <w:tc>
          <w:tcPr>
            <w:tcW w:w="1276" w:type="dxa"/>
          </w:tcPr>
          <w:p w:rsidR="007A5DFF" w:rsidRPr="00C815FC" w:rsidP="004A4AFC" w14:paraId="5075AFCB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4DE5E732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Броварська районна державна адміністрація (Броварська районна військова адміністрація) Київської області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07E34AF3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Згідно з пунктом 24 частини першої статті 25 Закону України «Про місцеві державні адміністрації»</w:t>
            </w:r>
          </w:p>
        </w:tc>
        <w:tc>
          <w:tcPr>
            <w:tcW w:w="993" w:type="dxa"/>
          </w:tcPr>
          <w:p w:rsidR="007A5DFF" w:rsidRPr="00C815FC" w:rsidP="004A4AFC" w14:paraId="35BF0154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AC2006F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2D62881D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380C96C7" w14:textId="77777777">
            <w:pPr>
              <w:numPr>
                <w:ilvl w:val="0"/>
                <w:numId w:val="35"/>
              </w:numPr>
              <w:spacing w:before="120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Забезпечення можливості евакуації</w:t>
            </w:r>
          </w:p>
        </w:tc>
        <w:tc>
          <w:tcPr>
            <w:tcW w:w="5244" w:type="dxa"/>
          </w:tcPr>
          <w:p w:rsidR="007A5DFF" w:rsidRPr="00C815FC" w:rsidP="004A4AFC" w14:paraId="56012CC1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2.1.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Визначити порядок дій при евакуації персоналу;</w:t>
            </w:r>
          </w:p>
          <w:p w:rsidR="007A5DFF" w:rsidRPr="00C815FC" w:rsidP="004A4AFC" w14:paraId="061EC780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2.2.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Перевірити наявність ресурсів для здійснення евакуації персоналу (автобуси, човни тощо);</w:t>
            </w:r>
          </w:p>
          <w:p w:rsidR="007A5DFF" w:rsidRPr="00C815FC" w:rsidP="004A4AFC" w14:paraId="65D835BE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2.3.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Перевірити наявність житла для евакуйованого персоналу;</w:t>
            </w:r>
          </w:p>
          <w:p w:rsidR="007A5DFF" w:rsidRPr="00C815FC" w:rsidP="004A4AFC" w14:paraId="3292955D" w14:textId="77777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2.4.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Забезпечення евакуйованого персоналу водою, продовольством та житлом.</w:t>
            </w:r>
          </w:p>
        </w:tc>
        <w:tc>
          <w:tcPr>
            <w:tcW w:w="1276" w:type="dxa"/>
          </w:tcPr>
          <w:p w:rsidR="007A5DFF" w:rsidRPr="00C815FC" w:rsidP="004A4AFC" w14:paraId="3C78D45F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Щ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ороку</w:t>
            </w:r>
          </w:p>
          <w:p w:rsidR="007A5DFF" w:rsidRPr="00C815FC" w:rsidP="004A4AFC" w14:paraId="02781436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</w:p>
        </w:tc>
        <w:tc>
          <w:tcPr>
            <w:tcW w:w="1984" w:type="dxa"/>
          </w:tcPr>
          <w:p w:rsidR="007A5DFF" w:rsidRPr="00C815FC" w:rsidP="004A4AFC" w14:paraId="53AC0AF9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Комісія з евакуації міської ради</w:t>
            </w:r>
          </w:p>
          <w:p w:rsidR="007A5DFF" w:rsidRPr="00C815FC" w:rsidP="004A4AFC" w14:paraId="0A2DC482" w14:textId="7777777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7A5DFF" w:rsidRPr="00C815FC" w:rsidP="004A4AFC" w14:paraId="18D875BD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Відповідно до розробленого плану евакуації населення  громади у разі загрози або виникнення НС</w:t>
            </w:r>
          </w:p>
        </w:tc>
        <w:tc>
          <w:tcPr>
            <w:tcW w:w="993" w:type="dxa"/>
          </w:tcPr>
          <w:p w:rsidR="007A5DFF" w:rsidRPr="00C815FC" w:rsidP="004A4AFC" w14:paraId="43298437" w14:textId="77777777">
            <w:pPr>
              <w:spacing w:before="12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74D3534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</w:tcPr>
          <w:p w:rsidR="007A5DFF" w:rsidRPr="00C815FC" w:rsidP="004A4AFC" w14:paraId="6F975C9E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Заходи з відновлення</w:t>
            </w:r>
          </w:p>
        </w:tc>
        <w:tc>
          <w:tcPr>
            <w:tcW w:w="2381" w:type="dxa"/>
          </w:tcPr>
          <w:p w:rsidR="007A5DFF" w:rsidRPr="00C815FC" w:rsidP="007A5DFF" w14:paraId="1CC8FF61" w14:textId="77777777">
            <w:pPr>
              <w:numPr>
                <w:ilvl w:val="0"/>
                <w:numId w:val="36"/>
              </w:numPr>
              <w:spacing w:before="120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Забезпечити можливість відновлення виробництва без зовнішнього живлення.</w:t>
            </w:r>
          </w:p>
        </w:tc>
        <w:tc>
          <w:tcPr>
            <w:tcW w:w="5244" w:type="dxa"/>
          </w:tcPr>
          <w:p w:rsidR="007A5DFF" w:rsidRPr="00C815FC" w:rsidP="007A5DFF" w14:paraId="65F9E7F4" w14:textId="77777777">
            <w:pPr>
              <w:numPr>
                <w:ilvl w:val="1"/>
                <w:numId w:val="36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Забезпечити наявність генеруючих установок, які можуть перезапускатися без стороннього живлення та без підключення до потужності.</w:t>
            </w:r>
          </w:p>
        </w:tc>
        <w:tc>
          <w:tcPr>
            <w:tcW w:w="1276" w:type="dxa"/>
          </w:tcPr>
          <w:p w:rsidR="007A5DFF" w:rsidRPr="00C815FC" w:rsidP="004A4AFC" w14:paraId="3F4472ED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Щ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3FF9CE88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Суб’єкти підприємницької діяльності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6D75087A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7A5DFF" w:rsidRPr="00C815FC" w:rsidP="004A4AFC" w14:paraId="3DD31EB1" w14:textId="77777777">
            <w:pPr>
              <w:spacing w:before="12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6E618EC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17FF01FB" w14:textId="7777777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381" w:type="dxa"/>
          </w:tcPr>
          <w:p w:rsidR="007A5DFF" w:rsidRPr="00C815FC" w:rsidP="007A5DFF" w14:paraId="2CFBB7DA" w14:textId="77777777">
            <w:pPr>
              <w:numPr>
                <w:ilvl w:val="0"/>
                <w:numId w:val="36"/>
              </w:numPr>
              <w:spacing w:before="120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Створення резервів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>комлектуючих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 w:eastAsia="ru-RU"/>
              </w:rPr>
              <w:t xml:space="preserve"> частин, необхідних для ремонту та відновлення виробництва</w:t>
            </w:r>
          </w:p>
        </w:tc>
        <w:tc>
          <w:tcPr>
            <w:tcW w:w="5244" w:type="dxa"/>
          </w:tcPr>
          <w:p w:rsidR="007A5DFF" w:rsidRPr="00C815FC" w:rsidP="007A5DFF" w14:paraId="4FC8EC7A" w14:textId="77777777">
            <w:pPr>
              <w:numPr>
                <w:ilvl w:val="0"/>
                <w:numId w:val="37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наявності готових запасних частин, матеріалів і засобів доставки;</w:t>
            </w:r>
          </w:p>
          <w:p w:rsidR="007A5DFF" w:rsidRPr="00C815FC" w:rsidP="007A5DFF" w14:paraId="6A24ECB1" w14:textId="77777777">
            <w:pPr>
              <w:numPr>
                <w:ilvl w:val="0"/>
                <w:numId w:val="37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в готових запасних частинах, матеріалах і засобах доставки, необхідних для якнайшвидшого відновлення об’єктів;</w:t>
            </w:r>
          </w:p>
          <w:p w:rsidR="007A5DFF" w:rsidRPr="00C815FC" w:rsidP="007A5DFF" w14:paraId="2599437B" w14:textId="77777777">
            <w:pPr>
              <w:numPr>
                <w:ilvl w:val="0"/>
                <w:numId w:val="37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забезпечення об’єктів готовими запасними частинами, матеріалами і засобами доставки;</w:t>
            </w:r>
          </w:p>
          <w:p w:rsidR="007A5DFF" w:rsidRPr="00C815FC" w:rsidP="007A5DFF" w14:paraId="03BE7EDC" w14:textId="77777777">
            <w:pPr>
              <w:numPr>
                <w:ilvl w:val="0"/>
                <w:numId w:val="37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Застосування резервів для якнайшвидшого відновлення об’єктів та надання послуги продовольчого забезпечення.</w:t>
            </w:r>
          </w:p>
        </w:tc>
        <w:tc>
          <w:tcPr>
            <w:tcW w:w="1276" w:type="dxa"/>
          </w:tcPr>
          <w:p w:rsidR="007A5DFF" w:rsidRPr="00C815FC" w:rsidP="004A4AFC" w14:paraId="3E1561BD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Щ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ороку</w:t>
            </w:r>
          </w:p>
        </w:tc>
        <w:tc>
          <w:tcPr>
            <w:tcW w:w="1984" w:type="dxa"/>
          </w:tcPr>
          <w:p w:rsidR="007A5DFF" w:rsidRPr="00C815FC" w:rsidP="004A4AFC" w14:paraId="555362C1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Суб’єкти підприємницької діяльності</w:t>
            </w:r>
          </w:p>
        </w:tc>
        <w:tc>
          <w:tcPr>
            <w:tcW w:w="1871" w:type="dxa"/>
            <w:gridSpan w:val="2"/>
          </w:tcPr>
          <w:p w:rsidR="007A5DFF" w:rsidRPr="00C815FC" w:rsidP="004A4AFC" w14:paraId="7B0070CF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7A5DFF" w:rsidRPr="00C815FC" w:rsidP="004A4AFC" w14:paraId="5AF4A836" w14:textId="77777777">
            <w:pPr>
              <w:spacing w:before="12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C6184F7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301" w:type="dxa"/>
            <w:gridSpan w:val="8"/>
            <w:tcMar>
              <w:left w:w="105" w:type="dxa"/>
              <w:right w:w="105" w:type="dxa"/>
            </w:tcMar>
          </w:tcPr>
          <w:p w:rsidR="007A5DFF" w:rsidRPr="00C815FC" w:rsidP="004A4AFC" w14:paraId="745718DB" w14:textId="77777777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ПОСЛУГА ОХОРОНИ ЗДОРОВ’Я</w:t>
            </w:r>
          </w:p>
        </w:tc>
      </w:tr>
      <w:tr w14:paraId="7759B47B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301" w:type="dxa"/>
            <w:gridSpan w:val="8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:rsidR="007A5DFF" w:rsidRPr="00C815FC" w:rsidP="004A4AFC" w14:paraId="5436D7DD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 об’єктів, які забезпечують життєдіяльність:</w:t>
            </w:r>
          </w:p>
          <w:p w:rsidR="007A5DFF" w:rsidRPr="00C815FC" w:rsidP="004A4AFC" w14:paraId="570414D9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КНП «Броварська багатопрофільна клінічна лікарня» (дитяча та доросла лікарня); КНП БМР БР КО  БМЦПМСД: у місті Бровари сім </w:t>
            </w:r>
            <w:r w:rsidRPr="00C815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амбулаторій, </w:t>
            </w:r>
            <w:r w:rsidRPr="00C815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Княжицька</w:t>
            </w:r>
            <w:r w:rsidRPr="00C815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амбулаторія загальної практики – сімейної медицини (КНП БМР БР КО  БМЦПМСД);  </w:t>
            </w:r>
            <w:r w:rsidRPr="00C815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Требухівська</w:t>
            </w:r>
            <w:r w:rsidRPr="00C815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амбулаторія загальної практики – сімейної медицини (КНП БМР БР КО  БМЦПМСД)</w:t>
            </w:r>
          </w:p>
          <w:p w:rsidR="007A5DFF" w:rsidRPr="00C815FC" w:rsidP="004A4AFC" w14:paraId="52A0A152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6FB084D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476DCFE3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Превентивні заходи</w:t>
            </w:r>
          </w:p>
        </w:tc>
        <w:tc>
          <w:tcPr>
            <w:tcW w:w="2381" w:type="dxa"/>
            <w:tcMar>
              <w:left w:w="105" w:type="dxa"/>
              <w:right w:w="105" w:type="dxa"/>
            </w:tcMar>
          </w:tcPr>
          <w:p w:rsidR="007A5DFF" w:rsidRPr="00C815FC" w:rsidP="007A5DFF" w14:paraId="5ACD2562" w14:textId="77777777">
            <w:pPr>
              <w:numPr>
                <w:ilvl w:val="0"/>
                <w:numId w:val="38"/>
              </w:numPr>
              <w:ind w:left="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Організація безпосереднього протиповітряного прикриття силами ЗСУ, НГУ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:rsidR="007A5DFF" w:rsidRPr="00C815FC" w:rsidP="007A5DFF" w14:paraId="0B200C5A" w14:textId="77777777">
            <w:pPr>
              <w:numPr>
                <w:ilvl w:val="0"/>
                <w:numId w:val="39"/>
              </w:numPr>
              <w:ind w:left="0" w:firstLine="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фактичного стану забезпеченості мобільних вогневих груп ППО;</w:t>
            </w:r>
          </w:p>
          <w:p w:rsidR="007A5DFF" w:rsidRPr="00C815FC" w:rsidP="007A5DFF" w14:paraId="678693D0" w14:textId="77777777">
            <w:pPr>
              <w:numPr>
                <w:ilvl w:val="0"/>
                <w:numId w:val="39"/>
              </w:numPr>
              <w:ind w:left="0" w:firstLine="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додатковому обладнанні;</w:t>
            </w:r>
          </w:p>
          <w:p w:rsidR="007A5DFF" w:rsidRPr="00C815FC" w:rsidP="007A5DFF" w14:paraId="30E17877" w14:textId="77777777">
            <w:pPr>
              <w:numPr>
                <w:ilvl w:val="0"/>
                <w:numId w:val="39"/>
              </w:numPr>
              <w:ind w:left="0" w:firstLine="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оснащення мобільних вогневих груп ППО додатковим обладнанням.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54D74844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61FC4D24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Броварська районна державна адміністрація (Броварська районна військова адміністрація) Київської області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27284242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Згідно з пунктом 24 частини першої статті 25 Закону України «Про місцеві державні адміністрації»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4E82B232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735C054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677A272B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left w:w="105" w:type="dxa"/>
              <w:right w:w="105" w:type="dxa"/>
            </w:tcMar>
          </w:tcPr>
          <w:p w:rsidR="007A5DFF" w:rsidRPr="00C815FC" w:rsidP="007A5DFF" w14:paraId="543D9B79" w14:textId="77777777">
            <w:pPr>
              <w:numPr>
                <w:ilvl w:val="0"/>
                <w:numId w:val="38"/>
              </w:numPr>
              <w:ind w:left="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Забезпечення фізичного захисту об’єктів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:rsidR="007A5DFF" w:rsidRPr="00C815FC" w:rsidP="007A5DFF" w14:paraId="5A825EA7" w14:textId="77777777">
            <w:pPr>
              <w:numPr>
                <w:ilvl w:val="0"/>
                <w:numId w:val="40"/>
              </w:numPr>
              <w:ind w:left="0" w:firstLine="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наявності та стану наземної охорони та оборони об’єктів;</w:t>
            </w:r>
          </w:p>
          <w:p w:rsidR="007A5DFF" w:rsidRPr="00C815FC" w:rsidP="007A5DFF" w14:paraId="56760382" w14:textId="77777777">
            <w:pPr>
              <w:numPr>
                <w:ilvl w:val="0"/>
                <w:numId w:val="40"/>
              </w:numPr>
              <w:ind w:left="0" w:firstLine="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силах охорони та оборони об’єктів;</w:t>
            </w:r>
          </w:p>
          <w:p w:rsidR="007A5DFF" w:rsidRPr="00C815FC" w:rsidP="007A5DFF" w14:paraId="08718013" w14:textId="77777777">
            <w:pPr>
              <w:numPr>
                <w:ilvl w:val="0"/>
                <w:numId w:val="40"/>
              </w:numPr>
              <w:ind w:left="0" w:firstLine="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наземної охорони та оборони силами НПУ, НГУ, ВОХОР, ЗСУ;</w:t>
            </w:r>
          </w:p>
          <w:p w:rsidR="007A5DFF" w:rsidRPr="00C815FC" w:rsidP="007A5DFF" w14:paraId="054B1752" w14:textId="77777777">
            <w:pPr>
              <w:numPr>
                <w:ilvl w:val="0"/>
                <w:numId w:val="40"/>
              </w:numPr>
              <w:ind w:left="0" w:firstLine="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цілодобової охорони об’єктів;</w:t>
            </w:r>
          </w:p>
          <w:p w:rsidR="007A5DFF" w:rsidRPr="00C815FC" w:rsidP="007A5DFF" w14:paraId="2CCA6408" w14:textId="77777777">
            <w:pPr>
              <w:numPr>
                <w:ilvl w:val="0"/>
                <w:numId w:val="40"/>
              </w:numPr>
              <w:ind w:left="0" w:firstLine="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стану комплексної системи безпеки (відеоспостереження, сигналізація тощо);</w:t>
            </w:r>
          </w:p>
          <w:p w:rsidR="007A5DFF" w:rsidRPr="00C815FC" w:rsidP="007A5DFF" w14:paraId="6B6C4612" w14:textId="77777777">
            <w:pPr>
              <w:numPr>
                <w:ilvl w:val="0"/>
                <w:numId w:val="40"/>
              </w:numPr>
              <w:ind w:left="0" w:firstLine="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Визначення стану забезпеченості мобільних вогневих груп необхідним обладнанням; </w:t>
            </w:r>
          </w:p>
          <w:p w:rsidR="007A5DFF" w:rsidRPr="00C815FC" w:rsidP="007A5DFF" w14:paraId="33C8FF1A" w14:textId="77777777">
            <w:pPr>
              <w:numPr>
                <w:ilvl w:val="0"/>
                <w:numId w:val="40"/>
              </w:numPr>
              <w:ind w:left="0" w:firstLine="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додатковому обладнанні для мобільних вогневих груп та матеріалів, необхідних для ремонту/створення комплексної системи безпеки;</w:t>
            </w:r>
          </w:p>
          <w:p w:rsidR="007A5DFF" w:rsidRPr="00C815FC" w:rsidP="007A5DFF" w14:paraId="40EF44EA" w14:textId="77777777">
            <w:pPr>
              <w:numPr>
                <w:ilvl w:val="0"/>
                <w:numId w:val="40"/>
              </w:numPr>
              <w:ind w:left="0" w:firstLine="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Закупівля та оснащення мобільних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вогневих груп додатковим обладнанням;</w:t>
            </w:r>
          </w:p>
          <w:p w:rsidR="007A5DFF" w:rsidRPr="00C815FC" w:rsidP="007A5DFF" w14:paraId="36338EE3" w14:textId="77777777">
            <w:pPr>
              <w:numPr>
                <w:ilvl w:val="0"/>
                <w:numId w:val="40"/>
              </w:numPr>
              <w:ind w:left="0" w:firstLine="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оснащення об’єктів комплексною системою безпеки.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72FD780C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00F35F8C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Броварська районна державна адміністрація (Броварська районна військова адміністрація) Київської області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13A522A7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Згідно з пунктом 24 частини першої статті 25 Закону України «Про місцеві державні адміністрації»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412F1B43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3953763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742036B8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left w:w="105" w:type="dxa"/>
              <w:right w:w="105" w:type="dxa"/>
            </w:tcMar>
          </w:tcPr>
          <w:p w:rsidR="007A5DFF" w:rsidRPr="00C815FC" w:rsidP="007A5DFF" w14:paraId="12E039BE" w14:textId="77777777">
            <w:pPr>
              <w:numPr>
                <w:ilvl w:val="0"/>
                <w:numId w:val="38"/>
              </w:numPr>
              <w:ind w:left="8" w:hanging="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Забезпечення інженерного захисту критичних елементів на об’єктах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:rsidR="007A5DFF" w:rsidRPr="00C815FC" w:rsidP="007A5DFF" w14:paraId="3F13DC1B" w14:textId="77777777">
            <w:pPr>
              <w:numPr>
                <w:ilvl w:val="0"/>
                <w:numId w:val="41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Визначення стану захищеності об’єктів інженерними засобами захисту;</w:t>
            </w:r>
          </w:p>
          <w:p w:rsidR="007A5DFF" w:rsidRPr="00C815FC" w:rsidP="007A5DFF" w14:paraId="77EFC67B" w14:textId="77777777">
            <w:pPr>
              <w:numPr>
                <w:ilvl w:val="0"/>
                <w:numId w:val="41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потреби в засобах інженерного захисту;</w:t>
            </w:r>
          </w:p>
          <w:p w:rsidR="007A5DFF" w:rsidRPr="00C815FC" w:rsidP="007A5DFF" w14:paraId="449E523F" w14:textId="77777777">
            <w:pPr>
              <w:numPr>
                <w:ilvl w:val="0"/>
                <w:numId w:val="41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Закупівля необхідних засобів та матеріалів;</w:t>
            </w:r>
          </w:p>
          <w:p w:rsidR="007A5DFF" w:rsidRPr="00C815FC" w:rsidP="007A5DFF" w14:paraId="08C61494" w14:textId="77777777">
            <w:pPr>
              <w:numPr>
                <w:ilvl w:val="0"/>
                <w:numId w:val="41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Оснащення критичних елементів об’єктів інженерними засобами захисту.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3210358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32E1512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оловний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інженер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лікарні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08F252D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ідповідно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розробленого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плану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ійкості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Броварської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МТГ 2024-2026 роки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536061C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Акти, протоколи</w:t>
            </w:r>
          </w:p>
        </w:tc>
      </w:tr>
      <w:tr w14:paraId="5B0FCBB5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7E7AAE19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left w:w="105" w:type="dxa"/>
              <w:right w:w="105" w:type="dxa"/>
            </w:tcMar>
          </w:tcPr>
          <w:p w:rsidR="007A5DFF" w:rsidRPr="00C815FC" w:rsidP="007A5DFF" w14:paraId="4375ECD1" w14:textId="77777777">
            <w:pPr>
              <w:numPr>
                <w:ilvl w:val="0"/>
                <w:numId w:val="38"/>
              </w:numPr>
              <w:ind w:left="8" w:hanging="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Забезпечення цивільного захисту об’єктів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:rsidR="007A5DFF" w:rsidRPr="00C815FC" w:rsidP="007A5DFF" w14:paraId="1E0AF1F5" w14:textId="77777777">
            <w:pPr>
              <w:numPr>
                <w:ilvl w:val="0"/>
                <w:numId w:val="42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наявності та стану укриттів на об’єктах;</w:t>
            </w:r>
          </w:p>
          <w:p w:rsidR="007A5DFF" w:rsidRPr="00C815FC" w:rsidP="007A5DFF" w14:paraId="24F10A4A" w14:textId="77777777">
            <w:pPr>
              <w:numPr>
                <w:ilvl w:val="0"/>
                <w:numId w:val="42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систем оповіщення;</w:t>
            </w:r>
          </w:p>
          <w:p w:rsidR="007A5DFF" w:rsidRPr="00C815FC" w:rsidP="007A5DFF" w14:paraId="4E247AE5" w14:textId="77777777">
            <w:pPr>
              <w:numPr>
                <w:ilvl w:val="0"/>
                <w:numId w:val="42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матеріалах, необхідних для забезпечення цивільного захисту об’єктів;</w:t>
            </w:r>
          </w:p>
          <w:p w:rsidR="007A5DFF" w:rsidRPr="00C815FC" w:rsidP="007A5DFF" w14:paraId="688B7E01" w14:textId="77777777">
            <w:pPr>
              <w:numPr>
                <w:ilvl w:val="0"/>
                <w:numId w:val="42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Оснащення наявних укриттів;</w:t>
            </w:r>
          </w:p>
          <w:p w:rsidR="007A5DFF" w:rsidRPr="00C815FC" w:rsidP="007A5DFF" w14:paraId="4A6DCBE6" w14:textId="77777777">
            <w:pPr>
              <w:numPr>
                <w:ilvl w:val="0"/>
                <w:numId w:val="42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Оснащення потенційних укриттів;</w:t>
            </w:r>
          </w:p>
          <w:p w:rsidR="007A5DFF" w:rsidRPr="00C815FC" w:rsidP="007A5DFF" w14:paraId="713400BB" w14:textId="77777777">
            <w:pPr>
              <w:numPr>
                <w:ilvl w:val="0"/>
                <w:numId w:val="42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 укриттів у разі їх відсутності;</w:t>
            </w:r>
          </w:p>
          <w:p w:rsidR="007A5DFF" w:rsidRPr="00C815FC" w:rsidP="007A5DFF" w14:paraId="730CFF64" w14:textId="77777777">
            <w:pPr>
              <w:numPr>
                <w:ilvl w:val="0"/>
                <w:numId w:val="42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наявних систем оповіщення та/або ремонт пошкоджених;</w:t>
            </w:r>
          </w:p>
          <w:p w:rsidR="007A5DFF" w:rsidRPr="00C815FC" w:rsidP="007A5DFF" w14:paraId="54AE8A1A" w14:textId="77777777">
            <w:pPr>
              <w:numPr>
                <w:ilvl w:val="0"/>
                <w:numId w:val="42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навчання персоналу щодо надання першої медичної допомоги та порядку дій у разі виникнення надзвичайної ситуації;</w:t>
            </w:r>
          </w:p>
          <w:p w:rsidR="007A5DFF" w:rsidRPr="00C815FC" w:rsidP="007A5DFF" w14:paraId="46F4DB24" w14:textId="77777777">
            <w:pPr>
              <w:numPr>
                <w:ilvl w:val="0"/>
                <w:numId w:val="42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Покращити програми розвитку персоналу для підготовки до потенційних ворожих дій та інших надзвичайних ситуацій, включно з навчанням персоналу щодо виявлення підозрілих дій та забезпеченням механізмів повідомлення та реагування.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3A87C9C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0655692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оловний інженер лікарні, фахівець із</w:t>
            </w:r>
          </w:p>
          <w:p w:rsidR="007A5DFF" w:rsidRPr="00C815FC" w:rsidP="004A4AFC" w14:paraId="15AFF96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цивільної оборони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1AFF9E0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ідповідно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розробленого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плану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ійкості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Броварської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МТГ 2024-2026 роки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5B5EB34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Акти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протоколи</w:t>
            </w:r>
          </w:p>
        </w:tc>
      </w:tr>
      <w:tr w14:paraId="5F7BF9B5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0806CBB4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left w:w="105" w:type="dxa"/>
              <w:right w:w="105" w:type="dxa"/>
            </w:tcMar>
          </w:tcPr>
          <w:p w:rsidR="007A5DFF" w:rsidRPr="00C815FC" w:rsidP="007A5DFF" w14:paraId="07C16FEB" w14:textId="77777777">
            <w:pPr>
              <w:numPr>
                <w:ilvl w:val="0"/>
                <w:numId w:val="38"/>
              </w:numPr>
              <w:ind w:left="0" w:firstLine="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Модернізація медичної інфраструктури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:rsidR="007A5DFF" w:rsidRPr="00C815FC" w:rsidP="007A5DFF" w14:paraId="22EF2E57" w14:textId="77777777">
            <w:pPr>
              <w:numPr>
                <w:ilvl w:val="1"/>
                <w:numId w:val="43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фактичного стану об’єктів (перевірка зношеності);</w:t>
            </w:r>
          </w:p>
          <w:p w:rsidR="007A5DFF" w:rsidRPr="00C815FC" w:rsidP="007A5DFF" w14:paraId="4CD17A46" w14:textId="77777777">
            <w:pPr>
              <w:numPr>
                <w:ilvl w:val="1"/>
                <w:numId w:val="43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Визначити ресурси необхідні для сталого функціонування медичної інфраструктури, а також способів їх постачання;</w:t>
            </w:r>
          </w:p>
          <w:p w:rsidR="007A5DFF" w:rsidRPr="00C815FC" w:rsidP="007A5DFF" w14:paraId="1B4CB1E3" w14:textId="77777777">
            <w:pPr>
              <w:numPr>
                <w:ilvl w:val="1"/>
                <w:numId w:val="43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потреби;</w:t>
            </w:r>
          </w:p>
          <w:p w:rsidR="007A5DFF" w:rsidRPr="00C815FC" w:rsidP="007A5DFF" w14:paraId="68511EDD" w14:textId="77777777">
            <w:pPr>
              <w:numPr>
                <w:ilvl w:val="1"/>
                <w:numId w:val="43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доступу мешканців до якісної первинної медичної допомоги:</w:t>
            </w:r>
          </w:p>
          <w:p w:rsidR="007A5DFF" w:rsidRPr="00C815FC" w:rsidP="007A5DFF" w14:paraId="0B19F67B" w14:textId="77777777">
            <w:pPr>
              <w:numPr>
                <w:ilvl w:val="0"/>
                <w:numId w:val="45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фінансування для пільгових категорій;</w:t>
            </w:r>
          </w:p>
          <w:p w:rsidR="007A5DFF" w:rsidRPr="00C815FC" w:rsidP="007A5DFF" w14:paraId="7E117943" w14:textId="77777777">
            <w:pPr>
              <w:numPr>
                <w:ilvl w:val="0"/>
                <w:numId w:val="45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безперешкодного доступу до медичних послуг людей з особливими потребами;</w:t>
            </w:r>
          </w:p>
          <w:p w:rsidR="007A5DFF" w:rsidRPr="00C815FC" w:rsidP="007A5DFF" w14:paraId="7F660276" w14:textId="77777777">
            <w:pPr>
              <w:numPr>
                <w:ilvl w:val="1"/>
                <w:numId w:val="44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Зміцнення матеріально-технічної бази та інституційної спроможності міської лікарні:</w:t>
            </w:r>
          </w:p>
          <w:p w:rsidR="007A5DFF" w:rsidRPr="00C815FC" w:rsidP="007A5DFF" w14:paraId="07796447" w14:textId="77777777">
            <w:pPr>
              <w:numPr>
                <w:ilvl w:val="2"/>
                <w:numId w:val="44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Закупівля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автомобілей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міської лікарні та центру крові;</w:t>
            </w:r>
          </w:p>
          <w:p w:rsidR="007A5DFF" w:rsidRPr="00C815FC" w:rsidP="007A5DFF" w14:paraId="5708B190" w14:textId="77777777">
            <w:pPr>
              <w:numPr>
                <w:ilvl w:val="2"/>
                <w:numId w:val="44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приміщень стаціонару лікарень;</w:t>
            </w:r>
          </w:p>
          <w:p w:rsidR="007A5DFF" w:rsidRPr="00C815FC" w:rsidP="007A5DFF" w14:paraId="0390BCE1" w14:textId="77777777">
            <w:pPr>
              <w:numPr>
                <w:ilvl w:val="2"/>
                <w:numId w:val="44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програмного забезпечення та комп’ютерної техніки для автоматизації процесів обліку та надання медичних послуг;</w:t>
            </w:r>
          </w:p>
          <w:p w:rsidR="007A5DFF" w:rsidRPr="00C815FC" w:rsidP="007A5DFF" w14:paraId="62AAB5DD" w14:textId="77777777">
            <w:pPr>
              <w:numPr>
                <w:ilvl w:val="2"/>
                <w:numId w:val="44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облад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нання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кіберзахисту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4A0FCCFB" w14:textId="77777777">
            <w:pPr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5B379006" w14:textId="77777777">
            <w:pPr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оловний інженер лікарні, </w:t>
            </w:r>
          </w:p>
          <w:p w:rsidR="007A5DFF" w:rsidRPr="00C815FC" w:rsidP="004A4AFC" w14:paraId="7D9D2405" w14:textId="77777777">
            <w:pPr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107BDEF6" w14:textId="77777777">
            <w:pPr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ідповідно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розробленого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плану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ійкості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Броварської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МТГ 2024-2026 роки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7B2542A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Акти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протоколи</w:t>
            </w:r>
          </w:p>
        </w:tc>
      </w:tr>
      <w:tr w14:paraId="743BBDF5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32276F32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left w:w="105" w:type="dxa"/>
              <w:right w:w="105" w:type="dxa"/>
            </w:tcMar>
          </w:tcPr>
          <w:p w:rsidR="007A5DFF" w:rsidRPr="00C815FC" w:rsidP="007A5DFF" w14:paraId="2DE18DDB" w14:textId="77777777">
            <w:pPr>
              <w:numPr>
                <w:ilvl w:val="0"/>
                <w:numId w:val="44"/>
              </w:numPr>
              <w:ind w:left="0" w:firstLine="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Посилення кадрового потенціалу та гармонізація первинної та вторинної медичної допомоги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:rsidR="007A5DFF" w:rsidRPr="00C815FC" w:rsidP="007A5DFF" w14:paraId="410BE958" w14:textId="77777777">
            <w:pPr>
              <w:numPr>
                <w:ilvl w:val="0"/>
                <w:numId w:val="46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Залучення кадрів лікарських спеціальностей: педіатр; терапевт; окуліст; стоматолог; дерматолог; хірург; гінеколог; офтальмолог; анестезіолог; отоларинголог; лаборант-анестезіолог;</w:t>
            </w:r>
          </w:p>
          <w:p w:rsidR="007A5DFF" w:rsidRPr="00C815FC" w:rsidP="007A5DFF" w14:paraId="0103A632" w14:textId="77777777">
            <w:pPr>
              <w:numPr>
                <w:ilvl w:val="0"/>
                <w:numId w:val="46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кадрового резерву для лікарні.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040B7BBF" w14:textId="77777777">
            <w:pPr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47970EFA" w14:textId="77777777">
            <w:pPr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ачальник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відділу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кадрів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лікарні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092661D3" w14:textId="77777777">
            <w:pPr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ідповідно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розробленого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плану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ійкості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Броварської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МТГ 2024-2026 роки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20839D7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Акти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протоколи</w:t>
            </w:r>
          </w:p>
        </w:tc>
      </w:tr>
      <w:tr w14:paraId="785733C4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</w:tcPr>
          <w:p w:rsidR="007A5DFF" w:rsidRPr="00C815FC" w:rsidP="004A4AFC" w14:paraId="32F34BE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Заходи з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реагування</w:t>
            </w:r>
          </w:p>
        </w:tc>
        <w:tc>
          <w:tcPr>
            <w:tcW w:w="2381" w:type="dxa"/>
            <w:tcMar>
              <w:left w:w="105" w:type="dxa"/>
              <w:right w:w="105" w:type="dxa"/>
            </w:tcMar>
          </w:tcPr>
          <w:p w:rsidR="007A5DFF" w:rsidRPr="00C815FC" w:rsidP="007A5DFF" w14:paraId="3AB3A5F9" w14:textId="77777777">
            <w:pPr>
              <w:numPr>
                <w:ilvl w:val="0"/>
                <w:numId w:val="47"/>
              </w:numPr>
              <w:ind w:left="8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Визначення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спроможностей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для реагування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:rsidR="007A5DFF" w:rsidRPr="00C815FC" w:rsidP="004A4AFC" w14:paraId="18F31F1F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1.1.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Визначення вимог до структури,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чисельності особового складу військових формувань та правоохоронних органів, необхідних для реагування;</w:t>
            </w:r>
          </w:p>
          <w:p w:rsidR="007A5DFF" w:rsidRPr="00C815FC" w:rsidP="004A4AFC" w14:paraId="41FD9DB0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1.2.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  <w:t xml:space="preserve">Визначення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кількісних та якісних показників озброєння та військової (спеціальної) техніки, інших видів матеріально-технічного забезпечення, військової (спеціальної) інфраструктури;</w:t>
            </w:r>
          </w:p>
          <w:p w:rsidR="007A5DFF" w:rsidRPr="00C815FC" w:rsidP="004A4AFC" w14:paraId="39972FF8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1.3.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потреби в засобах та силах, необхідних для реагування;</w:t>
            </w:r>
          </w:p>
          <w:p w:rsidR="007A5DFF" w:rsidRPr="00C815FC" w:rsidP="004A4AFC" w14:paraId="78181E6C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1.4.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плану взаємодії із сусідніми громадами для заповнення потреби при реагуванні;</w:t>
            </w:r>
          </w:p>
          <w:p w:rsidR="007A5DFF" w:rsidRPr="00C815FC" w:rsidP="004A4AFC" w14:paraId="50541390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1.5.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  <w:t>Реагування на кризові ситуації за Протоколами реагування функціональних органів.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447F5EB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65627A4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Броварська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районна державна адміністрація (Броварська районна військова адміністрація) Київської області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0DFA258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Згідно з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пунктом 24 частини першої статті 25 Закону України «Про місцеві державні адміністрації»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507D7751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4D04B18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4469E222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left w:w="105" w:type="dxa"/>
              <w:right w:w="105" w:type="dxa"/>
            </w:tcMar>
          </w:tcPr>
          <w:p w:rsidR="007A5DFF" w:rsidRPr="00C815FC" w:rsidP="007A5DFF" w14:paraId="2D151CFA" w14:textId="77777777">
            <w:pPr>
              <w:numPr>
                <w:ilvl w:val="0"/>
                <w:numId w:val="48"/>
              </w:numPr>
              <w:ind w:left="0" w:firstLine="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Забезпечення можливості евакуації персоналу та хворих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:rsidR="007A5DFF" w:rsidRPr="00C815FC" w:rsidP="004A4AFC" w14:paraId="1E05688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2.1.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Визначити порядок дій при евакуації персоналу та хворих;</w:t>
            </w:r>
          </w:p>
          <w:p w:rsidR="007A5DFF" w:rsidRPr="00C815FC" w:rsidP="004A4AFC" w14:paraId="5086F3D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2.2.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Перевірити наявність ресурсів для здійснення евакуації персоналу та хворих (автобуси, човни тощо);</w:t>
            </w:r>
          </w:p>
          <w:p w:rsidR="007A5DFF" w:rsidRPr="00C815FC" w:rsidP="004A4AFC" w14:paraId="6445EDF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2.3.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Перевірити наявність житла для евакуйованого персоналу та хворих;</w:t>
            </w:r>
          </w:p>
          <w:p w:rsidR="007A5DFF" w:rsidRPr="00C815FC" w:rsidP="004A4AFC" w14:paraId="69C76C5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2.4.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Забезпечення евакуйованого персоналу та хворих водою, продовольством та житлом.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2294C56A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40662BA1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авідувачі відділень, фахівець із цивільної оборони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2AA49B34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ідповідно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розробленого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плану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ійкості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Броварської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МТГ 2024-2026 роки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07E2D9F5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Акти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протоколи</w:t>
            </w:r>
          </w:p>
        </w:tc>
      </w:tr>
      <w:tr w14:paraId="3D1F094B" w14:textId="77777777" w:rsidTr="004A4AFC">
        <w:tblPrEx>
          <w:tblW w:w="15301" w:type="dxa"/>
          <w:tblLayout w:type="fixed"/>
          <w:tblLook w:val="04A0"/>
        </w:tblPrEx>
        <w:trPr>
          <w:trHeight w:val="1155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65DDAF4F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left w:w="105" w:type="dxa"/>
              <w:right w:w="105" w:type="dxa"/>
            </w:tcMar>
          </w:tcPr>
          <w:p w:rsidR="007A5DFF" w:rsidRPr="00C815FC" w:rsidP="007A5DFF" w14:paraId="049B5081" w14:textId="77777777">
            <w:pPr>
              <w:numPr>
                <w:ilvl w:val="0"/>
                <w:numId w:val="48"/>
              </w:numPr>
              <w:ind w:left="0" w:firstLine="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Забезпечення можливості надання медичної допомоги великої кількості постраждалих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:rsidR="007A5DFF" w:rsidRPr="00C815FC" w:rsidP="007A5DFF" w14:paraId="556C206E" w14:textId="77777777">
            <w:pPr>
              <w:numPr>
                <w:ilvl w:val="0"/>
                <w:numId w:val="49"/>
              </w:numPr>
              <w:ind w:left="0" w:firstLine="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плану/протоколу залучення резервів лікарів;</w:t>
            </w:r>
          </w:p>
          <w:p w:rsidR="007A5DFF" w:rsidRPr="00C815FC" w:rsidP="007A5DFF" w14:paraId="30250550" w14:textId="77777777">
            <w:pPr>
              <w:numPr>
                <w:ilvl w:val="0"/>
                <w:numId w:val="49"/>
              </w:numPr>
              <w:ind w:left="0" w:firstLine="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протоколу та джерел постачання матеріальних резервів (ліжка, обладнання тощо).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17499060" w14:textId="77777777">
            <w:pPr>
              <w:ind w:firstLine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7C348332" w14:textId="77777777">
            <w:pPr>
              <w:ind w:firstLine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авідувачі відділень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059A0A95" w14:textId="77777777">
            <w:pPr>
              <w:ind w:firstLine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ідповідно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розробленого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плану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ійкості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Броварської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МТГ 2024-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2026 роки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01949B86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Акти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протоколи</w:t>
            </w:r>
          </w:p>
        </w:tc>
      </w:tr>
      <w:tr w14:paraId="734EDB9D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6AB46321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 з відновлення</w:t>
            </w:r>
          </w:p>
        </w:tc>
        <w:tc>
          <w:tcPr>
            <w:tcW w:w="2381" w:type="dxa"/>
            <w:tcMar>
              <w:left w:w="105" w:type="dxa"/>
              <w:right w:w="105" w:type="dxa"/>
            </w:tcMar>
          </w:tcPr>
          <w:p w:rsidR="007A5DFF" w:rsidRPr="00C815FC" w:rsidP="007A5DFF" w14:paraId="254BC8F9" w14:textId="77777777">
            <w:pPr>
              <w:numPr>
                <w:ilvl w:val="0"/>
                <w:numId w:val="50"/>
              </w:numPr>
              <w:ind w:left="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Забезпечити можливість відновлення надання медичної допомоги без зовнішнього живлення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:rsidR="007A5DFF" w:rsidRPr="00C815FC" w:rsidP="007A5DFF" w14:paraId="6769C615" w14:textId="77777777">
            <w:pPr>
              <w:numPr>
                <w:ilvl w:val="0"/>
                <w:numId w:val="51"/>
              </w:numPr>
              <w:ind w:left="36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Забезпечити наявність генеруючих установок, які можуть перезапускатися без стороннього живлення та без підключення до потужності.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5FE0F45C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540B5A5E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оловний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інженер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енергетик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лікарні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5296A608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ідповідно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розробленого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плану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ійкості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Броварської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МТГ 2024-2026 роки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786C7198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Акти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протоколи</w:t>
            </w:r>
          </w:p>
        </w:tc>
      </w:tr>
      <w:tr w14:paraId="473C02D6" w14:textId="77777777" w:rsidTr="004A4AFC">
        <w:tblPrEx>
          <w:tblW w:w="15301" w:type="dxa"/>
          <w:tblLayout w:type="fixed"/>
          <w:tblLook w:val="04A0"/>
        </w:tblPrEx>
        <w:trPr>
          <w:trHeight w:val="1155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334BF891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left w:w="105" w:type="dxa"/>
              <w:right w:w="105" w:type="dxa"/>
            </w:tcMar>
          </w:tcPr>
          <w:p w:rsidR="007A5DFF" w:rsidRPr="00C815FC" w:rsidP="007A5DFF" w14:paraId="048BA720" w14:textId="77777777">
            <w:pPr>
              <w:numPr>
                <w:ilvl w:val="0"/>
                <w:numId w:val="50"/>
              </w:numPr>
              <w:ind w:left="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Створення резервів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комлектуючих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частин, необхідних для ремонту та відновлення виробництва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:rsidR="007A5DFF" w:rsidRPr="00C815FC" w:rsidP="007A5DFF" w14:paraId="7C971EEF" w14:textId="77777777">
            <w:pPr>
              <w:numPr>
                <w:ilvl w:val="0"/>
                <w:numId w:val="52"/>
              </w:numPr>
              <w:ind w:left="36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наявності готових запасних частин, матеріалів і засобів доставки;</w:t>
            </w:r>
          </w:p>
          <w:p w:rsidR="007A5DFF" w:rsidRPr="00C815FC" w:rsidP="007A5DFF" w14:paraId="4C8AAC63" w14:textId="77777777">
            <w:pPr>
              <w:numPr>
                <w:ilvl w:val="0"/>
                <w:numId w:val="52"/>
              </w:numPr>
              <w:ind w:left="36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в готових запасних частинах, матеріалах і засобах доставки, необхідних для якнайшвидшого відновлення об’єктів;</w:t>
            </w:r>
          </w:p>
          <w:p w:rsidR="007A5DFF" w:rsidRPr="00C815FC" w:rsidP="007A5DFF" w14:paraId="7F042BA7" w14:textId="77777777">
            <w:pPr>
              <w:numPr>
                <w:ilvl w:val="0"/>
                <w:numId w:val="52"/>
              </w:numPr>
              <w:ind w:left="36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забезпечення об’єктів готовими запасними частинами, матеріалами і засобами доставки;</w:t>
            </w:r>
          </w:p>
          <w:p w:rsidR="007A5DFF" w:rsidRPr="00C815FC" w:rsidP="007A5DFF" w14:paraId="5E0B8FC4" w14:textId="77777777">
            <w:pPr>
              <w:numPr>
                <w:ilvl w:val="0"/>
                <w:numId w:val="52"/>
              </w:numPr>
              <w:ind w:left="36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Застосування резервів для якнайшвидшого відновлення об’єктів та надання послуги охорони здоров’я.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7C9733D5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4FAC6638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оловний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інженер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енергетик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лікарні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23DA454B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ідповідно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розробленого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плану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ійкості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Броварської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МТГ 2024-2026 роки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07A104A6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Акти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протоколи</w:t>
            </w:r>
          </w:p>
        </w:tc>
      </w:tr>
      <w:tr w14:paraId="5DC6041F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301" w:type="dxa"/>
            <w:gridSpan w:val="8"/>
            <w:tcMar>
              <w:left w:w="105" w:type="dxa"/>
              <w:right w:w="105" w:type="dxa"/>
            </w:tcMar>
          </w:tcPr>
          <w:p w:rsidR="007A5DFF" w:rsidRPr="00C815FC" w:rsidP="004A4AFC" w14:paraId="64459DDD" w14:textId="77777777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ПОСЛУГА ЕЛЕКТРОННИХ КОМУНІКАЦІЙ</w:t>
            </w:r>
          </w:p>
        </w:tc>
      </w:tr>
      <w:tr w14:paraId="57009AA0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301" w:type="dxa"/>
            <w:gridSpan w:val="8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:rsidR="007A5DFF" w:rsidRPr="00C815FC" w:rsidP="004A4AFC" w14:paraId="1098F521" w14:textId="777777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Перелік об’єктів, які забезпечують життєдіяльність: </w:t>
            </w:r>
            <w:r w:rsidRPr="00C815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Базові станції стільникового зв’язку, Центри обробки даних, Точки обміну Інтернет-трафіком (обладнання провайдерів)</w:t>
            </w:r>
          </w:p>
        </w:tc>
      </w:tr>
      <w:tr w14:paraId="5FE197AC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4D38C956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Превентивні заходи</w:t>
            </w:r>
          </w:p>
        </w:tc>
        <w:tc>
          <w:tcPr>
            <w:tcW w:w="2381" w:type="dxa"/>
            <w:tcMar>
              <w:left w:w="105" w:type="dxa"/>
              <w:right w:w="105" w:type="dxa"/>
            </w:tcMar>
            <w:vAlign w:val="center"/>
          </w:tcPr>
          <w:p w:rsidR="007A5DFF" w:rsidRPr="00C815FC" w:rsidP="007A5DFF" w14:paraId="1690C096" w14:textId="77777777">
            <w:pPr>
              <w:numPr>
                <w:ilvl w:val="0"/>
                <w:numId w:val="57"/>
              </w:numPr>
              <w:ind w:left="8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Організація безпосереднього протиповітряного прикриття силами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ЗСУ, НГУ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  <w:vAlign w:val="center"/>
          </w:tcPr>
          <w:p w:rsidR="007A5DFF" w:rsidRPr="00C815FC" w:rsidP="007A5DFF" w14:paraId="4A38F3E3" w14:textId="77777777">
            <w:pPr>
              <w:numPr>
                <w:ilvl w:val="0"/>
                <w:numId w:val="53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фактичного стану забезпеченості мобільних вогневих груп ППО;</w:t>
            </w:r>
          </w:p>
          <w:p w:rsidR="007A5DFF" w:rsidRPr="00C815FC" w:rsidP="007A5DFF" w14:paraId="05F12A8D" w14:textId="77777777">
            <w:pPr>
              <w:numPr>
                <w:ilvl w:val="0"/>
                <w:numId w:val="53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додатковому обладнанні;</w:t>
            </w:r>
          </w:p>
          <w:p w:rsidR="007A5DFF" w:rsidRPr="00C815FC" w:rsidP="007A5DFF" w14:paraId="0FFA29F5" w14:textId="77777777">
            <w:pPr>
              <w:numPr>
                <w:ilvl w:val="0"/>
                <w:numId w:val="53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оснащення мобільних вогневих груп ППО додатковим обладнанням.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0B286177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272FD452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Броварська районна державна адміністрація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(Броварська районна військова адміністрація) Київської області «Укртелеком», Оператор ТОВ «БРАВОПОРТ»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70F10934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Згідно з пунктом 24 частини першої статті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25 Закону України «Про місцеві державні адміністрації»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69FB11AA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A79CE40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6C84976B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left w:w="105" w:type="dxa"/>
              <w:right w:w="105" w:type="dxa"/>
            </w:tcMar>
          </w:tcPr>
          <w:p w:rsidR="007A5DFF" w:rsidRPr="00C815FC" w:rsidP="007A5DFF" w14:paraId="35B1E054" w14:textId="77777777">
            <w:pPr>
              <w:numPr>
                <w:ilvl w:val="0"/>
                <w:numId w:val="57"/>
              </w:numPr>
              <w:ind w:left="8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Забезпечення фізичного захисту об’єктів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:rsidR="007A5DFF" w:rsidRPr="00C815FC" w:rsidP="007A5DFF" w14:paraId="03F7C51F" w14:textId="77777777">
            <w:pPr>
              <w:numPr>
                <w:ilvl w:val="0"/>
                <w:numId w:val="54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наявності та стану наземної охорони та оборони об’єктів;</w:t>
            </w:r>
          </w:p>
          <w:p w:rsidR="007A5DFF" w:rsidRPr="00C815FC" w:rsidP="007A5DFF" w14:paraId="5351D821" w14:textId="77777777">
            <w:pPr>
              <w:numPr>
                <w:ilvl w:val="0"/>
                <w:numId w:val="54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силах охорони та оборони об’єктів;</w:t>
            </w:r>
          </w:p>
          <w:p w:rsidR="007A5DFF" w:rsidRPr="00C815FC" w:rsidP="007A5DFF" w14:paraId="05DD47BA" w14:textId="77777777">
            <w:pPr>
              <w:numPr>
                <w:ilvl w:val="0"/>
                <w:numId w:val="54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наземної охорони та оборони силами НПУ, НГУ, ВОХОР, ЗСУ;</w:t>
            </w:r>
          </w:p>
          <w:p w:rsidR="007A5DFF" w:rsidRPr="00C815FC" w:rsidP="007A5DFF" w14:paraId="151566F7" w14:textId="77777777">
            <w:pPr>
              <w:numPr>
                <w:ilvl w:val="0"/>
                <w:numId w:val="54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цілодобової охорони об’єктів;</w:t>
            </w:r>
          </w:p>
          <w:p w:rsidR="007A5DFF" w:rsidRPr="00C815FC" w:rsidP="007A5DFF" w14:paraId="711BD4A4" w14:textId="77777777">
            <w:pPr>
              <w:numPr>
                <w:ilvl w:val="0"/>
                <w:numId w:val="54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стану комплексної системи безпеки (відеоспостереження, сигналізація тощо);</w:t>
            </w:r>
          </w:p>
          <w:p w:rsidR="007A5DFF" w:rsidRPr="00C815FC" w:rsidP="007A5DFF" w14:paraId="53B97949" w14:textId="77777777">
            <w:pPr>
              <w:numPr>
                <w:ilvl w:val="0"/>
                <w:numId w:val="54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Визначення стану забезпеченості мобільних вогневих груп необхідним обладнанням; </w:t>
            </w:r>
          </w:p>
          <w:p w:rsidR="007A5DFF" w:rsidRPr="00C815FC" w:rsidP="007A5DFF" w14:paraId="0D6EB9F8" w14:textId="77777777">
            <w:pPr>
              <w:numPr>
                <w:ilvl w:val="0"/>
                <w:numId w:val="54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додатковому обладнанні для мобільних вогневих груп та матеріалів, необхідних для ремонту/створення комплексної системи безпеки;</w:t>
            </w:r>
          </w:p>
          <w:p w:rsidR="007A5DFF" w:rsidRPr="00C815FC" w:rsidP="007A5DFF" w14:paraId="6BE10767" w14:textId="77777777">
            <w:pPr>
              <w:numPr>
                <w:ilvl w:val="0"/>
                <w:numId w:val="54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оснащення мобільних вогневих груп додатковим обладнанням;</w:t>
            </w:r>
          </w:p>
          <w:p w:rsidR="007A5DFF" w:rsidRPr="00C815FC" w:rsidP="007A5DFF" w14:paraId="32E5EFFB" w14:textId="77777777">
            <w:pPr>
              <w:numPr>
                <w:ilvl w:val="0"/>
                <w:numId w:val="54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оснащення об’єктів комплексною системою безпеки.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3A3449E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0302DA1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Власники базових станцій,</w:t>
            </w:r>
          </w:p>
          <w:p w:rsidR="007A5DFF" w:rsidRPr="00C815FC" w:rsidP="004A4AFC" w14:paraId="1F7645C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Дільниця мережі доступу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Київськоїї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філії АТ</w:t>
            </w:r>
          </w:p>
          <w:p w:rsidR="007A5DFF" w:rsidRPr="00C815FC" w:rsidP="004A4AFC" w14:paraId="1760BD5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«Укртелеком»,</w:t>
            </w:r>
          </w:p>
          <w:p w:rsidR="007A5DFF" w:rsidRPr="00C815FC" w:rsidP="004A4AFC" w14:paraId="754B8FD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Оператор ТОВ «БРАВОПОРТ»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6EDAD70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Власні кошти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5C789F0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69068FB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4DEA26A5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left w:w="105" w:type="dxa"/>
              <w:right w:w="105" w:type="dxa"/>
            </w:tcMar>
            <w:vAlign w:val="center"/>
          </w:tcPr>
          <w:p w:rsidR="007A5DFF" w:rsidRPr="00C815FC" w:rsidP="007A5DFF" w14:paraId="2AD96707" w14:textId="77777777">
            <w:pPr>
              <w:numPr>
                <w:ilvl w:val="0"/>
                <w:numId w:val="57"/>
              </w:numPr>
              <w:ind w:left="8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інженерного захисту критичних елементів на об’єктах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  <w:vAlign w:val="center"/>
          </w:tcPr>
          <w:p w:rsidR="007A5DFF" w:rsidRPr="00C815FC" w:rsidP="007A5DFF" w14:paraId="71523E46" w14:textId="77777777">
            <w:pPr>
              <w:numPr>
                <w:ilvl w:val="0"/>
                <w:numId w:val="55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Визначення стану захищеності об’єктів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інженерними засобами захисту;</w:t>
            </w:r>
          </w:p>
          <w:p w:rsidR="007A5DFF" w:rsidRPr="00C815FC" w:rsidP="007A5DFF" w14:paraId="7B2BEF40" w14:textId="77777777">
            <w:pPr>
              <w:numPr>
                <w:ilvl w:val="0"/>
                <w:numId w:val="55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потреби в засобах інженерного захисту;</w:t>
            </w:r>
          </w:p>
          <w:p w:rsidR="007A5DFF" w:rsidRPr="00C815FC" w:rsidP="007A5DFF" w14:paraId="5F8652C6" w14:textId="77777777">
            <w:pPr>
              <w:numPr>
                <w:ilvl w:val="0"/>
                <w:numId w:val="55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Закупівля необхідних засобів та матеріалів;</w:t>
            </w:r>
          </w:p>
          <w:p w:rsidR="007A5DFF" w:rsidRPr="00C815FC" w:rsidP="007A5DFF" w14:paraId="3F225EC1" w14:textId="77777777">
            <w:pPr>
              <w:numPr>
                <w:ilvl w:val="0"/>
                <w:numId w:val="55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Оснащення критичних елементів об’єктів інженерними засобами захисту.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2499F060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40A759AF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Власники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базових станцій,</w:t>
            </w:r>
          </w:p>
          <w:p w:rsidR="007A5DFF" w:rsidRPr="00C815FC" w:rsidP="004A4AFC" w14:paraId="6F285B00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Дільниця мережі доступу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Київськоїї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філії АТ</w:t>
            </w:r>
          </w:p>
          <w:p w:rsidR="007A5DFF" w:rsidRPr="00C815FC" w:rsidP="004A4AFC" w14:paraId="7A37F353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«Укртелеком»,</w:t>
            </w:r>
          </w:p>
          <w:p w:rsidR="007A5DFF" w:rsidRPr="00C815FC" w:rsidP="004A4AFC" w14:paraId="4F7EBFBF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Оператор ТОВ «БРАВОПОРТ»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4C8EE152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Власні кошти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2066E5F3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33551D3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0D182686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left w:w="105" w:type="dxa"/>
              <w:right w:w="105" w:type="dxa"/>
            </w:tcMar>
          </w:tcPr>
          <w:p w:rsidR="007A5DFF" w:rsidRPr="00C815FC" w:rsidP="007A5DFF" w14:paraId="728AA523" w14:textId="77777777">
            <w:pPr>
              <w:numPr>
                <w:ilvl w:val="0"/>
                <w:numId w:val="57"/>
              </w:numPr>
              <w:ind w:left="8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Забезпечення цивільного захисту об’єктів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:rsidR="007A5DFF" w:rsidRPr="00C815FC" w:rsidP="007A5DFF" w14:paraId="4BEE3456" w14:textId="77777777">
            <w:pPr>
              <w:numPr>
                <w:ilvl w:val="0"/>
                <w:numId w:val="56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наявності та стану укриттів на об’єктах;</w:t>
            </w:r>
          </w:p>
          <w:p w:rsidR="007A5DFF" w:rsidRPr="00C815FC" w:rsidP="007A5DFF" w14:paraId="0C5AB491" w14:textId="77777777">
            <w:pPr>
              <w:numPr>
                <w:ilvl w:val="0"/>
                <w:numId w:val="56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систем оповіщення;</w:t>
            </w:r>
          </w:p>
          <w:p w:rsidR="007A5DFF" w:rsidRPr="00C815FC" w:rsidP="007A5DFF" w14:paraId="0ECDD2AE" w14:textId="77777777">
            <w:pPr>
              <w:numPr>
                <w:ilvl w:val="0"/>
                <w:numId w:val="56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 у матеріалах, необхідних для забезпечення цивільного захисту об’єктів;</w:t>
            </w:r>
          </w:p>
          <w:p w:rsidR="007A5DFF" w:rsidRPr="00C815FC" w:rsidP="007A5DFF" w14:paraId="091812F0" w14:textId="77777777">
            <w:pPr>
              <w:numPr>
                <w:ilvl w:val="0"/>
                <w:numId w:val="56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Оснащення наявних укриттів;</w:t>
            </w:r>
          </w:p>
          <w:p w:rsidR="007A5DFF" w:rsidRPr="00C815FC" w:rsidP="007A5DFF" w14:paraId="7B9B3DBA" w14:textId="77777777">
            <w:pPr>
              <w:numPr>
                <w:ilvl w:val="0"/>
                <w:numId w:val="56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Оснащення потенційних укриттів;</w:t>
            </w:r>
          </w:p>
          <w:p w:rsidR="007A5DFF" w:rsidRPr="00C815FC" w:rsidP="007A5DFF" w14:paraId="0D9BFFC9" w14:textId="77777777">
            <w:pPr>
              <w:numPr>
                <w:ilvl w:val="0"/>
                <w:numId w:val="56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 укриттів у разі їх відсутності;</w:t>
            </w:r>
          </w:p>
          <w:p w:rsidR="007A5DFF" w:rsidRPr="00C815FC" w:rsidP="007A5DFF" w14:paraId="34B07532" w14:textId="77777777">
            <w:pPr>
              <w:numPr>
                <w:ilvl w:val="0"/>
                <w:numId w:val="56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наявних систем оповіщення та/або ремонт пошкоджених;</w:t>
            </w:r>
          </w:p>
          <w:p w:rsidR="007A5DFF" w:rsidRPr="00C815FC" w:rsidP="007A5DFF" w14:paraId="708CDB53" w14:textId="77777777">
            <w:pPr>
              <w:numPr>
                <w:ilvl w:val="0"/>
                <w:numId w:val="56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навчання персоналу щодо надання першої медичної допомоги та порядку дій у разі виникнення надзвичайної ситуації;</w:t>
            </w:r>
          </w:p>
          <w:p w:rsidR="007A5DFF" w:rsidRPr="00C815FC" w:rsidP="007A5DFF" w14:paraId="66C6E906" w14:textId="77777777">
            <w:pPr>
              <w:numPr>
                <w:ilvl w:val="0"/>
                <w:numId w:val="56"/>
              </w:numPr>
              <w:ind w:left="36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Покращити програми розвитку персоналу для підготовки до потенційних ворожих дій та інших надзвичайних ситуацій, включно з навчанням персоналу щодо виявлення підозрілих дій та забезпеченням механізмів повідомлення та реагування.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77E67E5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6089D6C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Власники базових станцій,</w:t>
            </w:r>
          </w:p>
          <w:p w:rsidR="007A5DFF" w:rsidRPr="00C815FC" w:rsidP="004A4AFC" w14:paraId="23015DD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Дільниця мережі доступу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Київськоїї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філії АТ</w:t>
            </w:r>
          </w:p>
          <w:p w:rsidR="007A5DFF" w:rsidRPr="00C815FC" w:rsidP="004A4AFC" w14:paraId="067A013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«Укртелеком»,</w:t>
            </w:r>
          </w:p>
          <w:p w:rsidR="007A5DFF" w:rsidRPr="00C815FC" w:rsidP="004A4AFC" w14:paraId="118E258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Оператор ТОВ «БРАВОПОРТ»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15417D0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Власні кошти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0C65A9F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E734B66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1F90EC3D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left w:w="105" w:type="dxa"/>
              <w:right w:w="105" w:type="dxa"/>
            </w:tcMar>
          </w:tcPr>
          <w:p w:rsidR="007A5DFF" w:rsidRPr="00C815FC" w:rsidP="007A5DFF" w14:paraId="15C398CF" w14:textId="77777777">
            <w:pPr>
              <w:numPr>
                <w:ilvl w:val="0"/>
                <w:numId w:val="57"/>
              </w:numPr>
              <w:ind w:left="0" w:firstLine="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Модернізація обладнання електронних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комунікацій та надання послуги зв’язку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:rsidR="007A5DFF" w:rsidRPr="00C815FC" w:rsidP="007A5DFF" w14:paraId="0BC9FCF7" w14:textId="77777777">
            <w:pPr>
              <w:numPr>
                <w:ilvl w:val="0"/>
                <w:numId w:val="64"/>
              </w:numPr>
              <w:ind w:left="0" w:firstLine="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Розробка проєкту обладнання для системи оповіщення населення з елементами резервного електроживлення;</w:t>
            </w:r>
          </w:p>
          <w:p w:rsidR="007A5DFF" w:rsidRPr="00C815FC" w:rsidP="007A5DFF" w14:paraId="5EFA594F" w14:textId="77777777">
            <w:pPr>
              <w:numPr>
                <w:ilvl w:val="0"/>
                <w:numId w:val="64"/>
              </w:numPr>
              <w:ind w:left="0" w:firstLine="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виконавчих органів, комунальних підприємств та установ Броварської ТГ альтернативним оперативним радіозв'язком;</w:t>
            </w:r>
          </w:p>
          <w:p w:rsidR="007A5DFF" w:rsidRPr="00C815FC" w:rsidP="007A5DFF" w14:paraId="454113C6" w14:textId="77777777">
            <w:pPr>
              <w:numPr>
                <w:ilvl w:val="0"/>
                <w:numId w:val="64"/>
              </w:numPr>
              <w:ind w:left="0" w:firstLine="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пунктів незламності енергонезалежним оптичним Інтернет-зв'язком та обладнанням для бездротового (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wi-fi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) Інтернет-зв'язку;</w:t>
            </w:r>
          </w:p>
          <w:p w:rsidR="007A5DFF" w:rsidRPr="00C815FC" w:rsidP="007A5DFF" w14:paraId="6CA0783B" w14:textId="77777777">
            <w:pPr>
              <w:numPr>
                <w:ilvl w:val="0"/>
                <w:numId w:val="64"/>
              </w:numPr>
              <w:ind w:left="0" w:firstLine="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Підключення об'єктів цивільного захисту, виконавчих органів, комунальних підприємств та установ Броварської ТГ до каналів енергонезалежного оптичного резервного Інтернету та стільникового зв'язку;</w:t>
            </w:r>
          </w:p>
          <w:p w:rsidR="007A5DFF" w:rsidRPr="00C815FC" w:rsidP="007A5DFF" w14:paraId="63315F73" w14:textId="77777777">
            <w:pPr>
              <w:numPr>
                <w:ilvl w:val="0"/>
                <w:numId w:val="64"/>
              </w:numPr>
              <w:ind w:left="0" w:firstLine="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Підключення центрів обробки даних Броварської ТГ до резервних енергонезалежних оптичних каналів передачі даних;</w:t>
            </w:r>
          </w:p>
          <w:p w:rsidR="007A5DFF" w:rsidRPr="00C815FC" w:rsidP="007A5DFF" w14:paraId="7827ADE5" w14:textId="77777777">
            <w:pPr>
              <w:numPr>
                <w:ilvl w:val="0"/>
                <w:numId w:val="64"/>
              </w:numPr>
              <w:ind w:left="0" w:firstLine="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підключення базових станцій мобільного зв'язку до генераторів комунальних та приватних підприємств під час критичного відключення електроенергії;</w:t>
            </w:r>
          </w:p>
          <w:p w:rsidR="007A5DFF" w:rsidRPr="00C815FC" w:rsidP="007A5DFF" w14:paraId="25471258" w14:textId="77777777">
            <w:pPr>
              <w:numPr>
                <w:ilvl w:val="0"/>
                <w:numId w:val="64"/>
              </w:numPr>
              <w:ind w:left="0" w:firstLine="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Облаштування безкоштовних енергонезалежних публічних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wi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-зон на вулицях міста;</w:t>
            </w:r>
          </w:p>
          <w:p w:rsidR="007A5DFF" w:rsidRPr="00C815FC" w:rsidP="007A5DFF" w14:paraId="32978007" w14:textId="77777777">
            <w:pPr>
              <w:numPr>
                <w:ilvl w:val="0"/>
                <w:numId w:val="64"/>
              </w:numPr>
              <w:ind w:left="0" w:firstLine="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потреби;</w:t>
            </w:r>
          </w:p>
          <w:p w:rsidR="007A5DFF" w:rsidRPr="00C815FC" w:rsidP="007A5DFF" w14:paraId="79176003" w14:textId="77777777">
            <w:pPr>
              <w:numPr>
                <w:ilvl w:val="0"/>
                <w:numId w:val="64"/>
              </w:numPr>
              <w:ind w:left="0" w:firstLine="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забезпечення виконання заходів.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10CB3A4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5F87213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Власники базових станцій,</w:t>
            </w:r>
          </w:p>
          <w:p w:rsidR="007A5DFF" w:rsidRPr="00C815FC" w:rsidP="004A4AFC" w14:paraId="5E110A2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Дільниця мережі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доступу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Київськоїї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філії АТ</w:t>
            </w:r>
          </w:p>
          <w:p w:rsidR="007A5DFF" w:rsidRPr="00C815FC" w:rsidP="004A4AFC" w14:paraId="4EBF3A3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«Укртелеком»,</w:t>
            </w:r>
          </w:p>
          <w:p w:rsidR="007A5DFF" w:rsidRPr="00C815FC" w:rsidP="004A4AFC" w14:paraId="1929CEE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Оператор ТОВ «БРАВОПОРТ»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73F2B20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Власні кошти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40A5A9E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88E86AF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</w:tcPr>
          <w:p w:rsidR="007A5DFF" w:rsidRPr="00C815FC" w:rsidP="004A4AFC" w14:paraId="18204B0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 з реагування</w:t>
            </w:r>
          </w:p>
        </w:tc>
        <w:tc>
          <w:tcPr>
            <w:tcW w:w="2381" w:type="dxa"/>
            <w:tcMar>
              <w:left w:w="105" w:type="dxa"/>
              <w:right w:w="105" w:type="dxa"/>
            </w:tcMar>
          </w:tcPr>
          <w:p w:rsidR="007A5DFF" w:rsidRPr="00C815FC" w:rsidP="007A5DFF" w14:paraId="29EBA74F" w14:textId="77777777">
            <w:pPr>
              <w:numPr>
                <w:ilvl w:val="0"/>
                <w:numId w:val="58"/>
              </w:numPr>
              <w:ind w:left="0" w:firstLine="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Визначення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спроможностей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для реагування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:rsidR="007A5DFF" w:rsidRPr="00C815FC" w:rsidP="004A4AFC" w14:paraId="507E5206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1.1.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Визначення вимог до структури, чисельності особового складу військових формувань та правоохоронних органів, необхідних для реагування;</w:t>
            </w:r>
          </w:p>
          <w:p w:rsidR="007A5DFF" w:rsidRPr="00C815FC" w:rsidP="004A4AFC" w14:paraId="191D7F3B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1.2.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ab/>
              <w:t xml:space="preserve">Визначення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кількісних та якісних показників озброєння та військової (спеціальної)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техніки, інших видів матеріально-технічного забезпечення, військової (спеціальної) інфраструктури;</w:t>
            </w:r>
          </w:p>
          <w:p w:rsidR="007A5DFF" w:rsidRPr="00C815FC" w:rsidP="004A4AFC" w14:paraId="1BA6C61D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1.3.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потреби в засобах та силах, необхідних для реагування;</w:t>
            </w:r>
          </w:p>
          <w:p w:rsidR="007A5DFF" w:rsidRPr="00C815FC" w:rsidP="004A4AFC" w14:paraId="680B0B8B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1.4.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Формування плану взаємодії із сусідніми громадами для заповнення потреби при реагуванні;</w:t>
            </w:r>
          </w:p>
          <w:p w:rsidR="007A5DFF" w:rsidRPr="00C815FC" w:rsidP="004A4AFC" w14:paraId="0AC6B881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1.5.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  <w:t>Реагування на кризові ситуації за Протоколами реагування функціональних органів.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04A0DAA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29F0C51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Броварська районна державна адміністрація (Броварська районна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військова адміністрація) Київської області «Укртелеком», Оператор ТОВ «БРАВОПОРТ»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14C67C7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Згідно з пунктом 24 частини першої статті 25 Закону України «Про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місцеві державні адміністрації»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1DA2C5E4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C77DF4E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5ED1ACA8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left w:w="105" w:type="dxa"/>
              <w:right w:w="105" w:type="dxa"/>
            </w:tcMar>
          </w:tcPr>
          <w:p w:rsidR="007A5DFF" w:rsidRPr="00C815FC" w:rsidP="007A5DFF" w14:paraId="2CD99501" w14:textId="77777777">
            <w:pPr>
              <w:numPr>
                <w:ilvl w:val="0"/>
                <w:numId w:val="59"/>
              </w:numPr>
              <w:ind w:left="8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Забезпечення можливості евакуації персоналу 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:rsidR="007A5DFF" w:rsidRPr="00C815FC" w:rsidP="004A4AFC" w14:paraId="32361763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2.1.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Визначити порядок дій при евакуації персоналу;</w:t>
            </w:r>
          </w:p>
          <w:p w:rsidR="007A5DFF" w:rsidRPr="00C815FC" w:rsidP="004A4AFC" w14:paraId="602C0A81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2.2.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Перевірити наявність ресурсів для здійснення евакуації персоналу (автобуси, човни тощо);</w:t>
            </w:r>
          </w:p>
          <w:p w:rsidR="007A5DFF" w:rsidRPr="00C815FC" w:rsidP="004A4AFC" w14:paraId="149BD307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2.3.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Перевірити наявність житла для евакуйованого персоналу;</w:t>
            </w:r>
          </w:p>
          <w:p w:rsidR="007A5DFF" w:rsidRPr="00C815FC" w:rsidP="004A4AFC" w14:paraId="38FB770E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2.4. 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Забезпечення евакуйованого персоналу водою, продовольством та житлом.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221320D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52DEA56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Власники базових станцій,</w:t>
            </w:r>
          </w:p>
          <w:p w:rsidR="007A5DFF" w:rsidRPr="00C815FC" w:rsidP="004A4AFC" w14:paraId="427C321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Дільниця мережі доступу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Київськоїї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філії АТ</w:t>
            </w:r>
          </w:p>
          <w:p w:rsidR="007A5DFF" w:rsidRPr="00C815FC" w:rsidP="004A4AFC" w14:paraId="319A75B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«Укртелеком»,</w:t>
            </w:r>
          </w:p>
          <w:p w:rsidR="007A5DFF" w:rsidRPr="00C815FC" w:rsidP="004A4AFC" w14:paraId="0DA3EE9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Оператор ТОВ «БРАВОПОРТ»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6505C8C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Власні кошти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29F4B95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95BFA02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7A5DFF" w:rsidRPr="00C815FC" w:rsidP="004A4AFC" w14:paraId="0DBE87DC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 з відновлення</w:t>
            </w:r>
          </w:p>
        </w:tc>
        <w:tc>
          <w:tcPr>
            <w:tcW w:w="2381" w:type="dxa"/>
            <w:tcMar>
              <w:left w:w="105" w:type="dxa"/>
              <w:right w:w="105" w:type="dxa"/>
            </w:tcMar>
          </w:tcPr>
          <w:p w:rsidR="007A5DFF" w:rsidRPr="00C815FC" w:rsidP="007A5DFF" w14:paraId="616EB233" w14:textId="77777777">
            <w:pPr>
              <w:numPr>
                <w:ilvl w:val="0"/>
                <w:numId w:val="62"/>
              </w:numPr>
              <w:ind w:left="0" w:firstLine="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Забезпечити можливість відновлення надання послуги зв’язку без зовнішнього живлення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:rsidR="007A5DFF" w:rsidRPr="00C815FC" w:rsidP="007A5DFF" w14:paraId="6EB73FF7" w14:textId="77777777">
            <w:pPr>
              <w:numPr>
                <w:ilvl w:val="0"/>
                <w:numId w:val="60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Забезпечити наявність генеруючих установок, які можуть перезапускатися без стороннього живлення та без підключення до потужності.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071DE71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2136F05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Власники базових станцій,</w:t>
            </w:r>
          </w:p>
          <w:p w:rsidR="007A5DFF" w:rsidRPr="00C815FC" w:rsidP="004A4AFC" w14:paraId="53AE052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Дільниця мережі доступу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Київськоїї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філії АТ</w:t>
            </w:r>
          </w:p>
          <w:p w:rsidR="007A5DFF" w:rsidRPr="00C815FC" w:rsidP="004A4AFC" w14:paraId="5609809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«Укртелеком»,</w:t>
            </w:r>
          </w:p>
          <w:p w:rsidR="007A5DFF" w:rsidRPr="00C815FC" w:rsidP="004A4AFC" w14:paraId="4595FFC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Оператор ТОВ «БРАВОПОРТ»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2681A17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Власні кошти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561B88C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3521BD1" w14:textId="77777777" w:rsidTr="004A4AFC">
        <w:tblPrEx>
          <w:tblW w:w="15301" w:type="dxa"/>
          <w:tblLayout w:type="fixed"/>
          <w:tblLook w:val="04A0"/>
        </w:tblPrEx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7A5DFF" w:rsidRPr="00C815FC" w:rsidP="004A4AFC" w14:paraId="58932140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left w:w="105" w:type="dxa"/>
              <w:right w:w="105" w:type="dxa"/>
            </w:tcMar>
          </w:tcPr>
          <w:p w:rsidR="007A5DFF" w:rsidRPr="00C815FC" w:rsidP="007A5DFF" w14:paraId="1F6F7E47" w14:textId="77777777">
            <w:pPr>
              <w:numPr>
                <w:ilvl w:val="0"/>
                <w:numId w:val="63"/>
              </w:numPr>
              <w:ind w:left="0" w:firstLine="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Створення резервів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комлектуючих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C815F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частин, необхідних для ремонту та відновлення виробництва</w:t>
            </w:r>
          </w:p>
        </w:tc>
        <w:tc>
          <w:tcPr>
            <w:tcW w:w="5244" w:type="dxa"/>
            <w:tcMar>
              <w:left w:w="105" w:type="dxa"/>
              <w:right w:w="105" w:type="dxa"/>
            </w:tcMar>
          </w:tcPr>
          <w:p w:rsidR="007A5DFF" w:rsidRPr="00C815FC" w:rsidP="007A5DFF" w14:paraId="134C1E19" w14:textId="77777777">
            <w:pPr>
              <w:numPr>
                <w:ilvl w:val="0"/>
                <w:numId w:val="61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наявності готових запасних частин, матеріалів і засобів доставки;</w:t>
            </w:r>
          </w:p>
          <w:p w:rsidR="007A5DFF" w:rsidRPr="00C815FC" w:rsidP="007A5DFF" w14:paraId="6A2B5050" w14:textId="77777777">
            <w:pPr>
              <w:numPr>
                <w:ilvl w:val="0"/>
                <w:numId w:val="61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Формування потреби в готових запасних </w:t>
            </w: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частинах, матеріалах і засобах доставки, необхідних для якнайшвидшого відновлення об’єктів;</w:t>
            </w:r>
          </w:p>
          <w:p w:rsidR="007A5DFF" w:rsidRPr="00C815FC" w:rsidP="007A5DFF" w14:paraId="1AB505D9" w14:textId="77777777">
            <w:pPr>
              <w:numPr>
                <w:ilvl w:val="0"/>
                <w:numId w:val="61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забезпечення об’єктів готовими запасними частинами, матеріалами і засобами доставки;</w:t>
            </w:r>
          </w:p>
          <w:p w:rsidR="007A5DFF" w:rsidRPr="00C815FC" w:rsidP="007A5DFF" w14:paraId="2DAE282E" w14:textId="77777777">
            <w:pPr>
              <w:numPr>
                <w:ilvl w:val="0"/>
                <w:numId w:val="61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Застосування резервів для якнайшвидшого відновлення об’єктів та надання послуги електронних комунікацій.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:rsidR="007A5DFF" w:rsidRPr="00C815FC" w:rsidP="004A4AFC" w14:paraId="0D48381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815FC">
              <w:rPr>
                <w:rFonts w:ascii="Times New Roman" w:hAnsi="Times New Roman" w:cs="Times New Roman"/>
                <w:sz w:val="24"/>
                <w:szCs w:val="24"/>
              </w:rPr>
              <w:t>ороку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:rsidR="007A5DFF" w:rsidRPr="00C815FC" w:rsidP="004A4AFC" w14:paraId="269C99D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Власники базових станцій,</w:t>
            </w:r>
          </w:p>
          <w:p w:rsidR="007A5DFF" w:rsidRPr="00C815FC" w:rsidP="004A4AFC" w14:paraId="60C735A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Дільниця мережі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доступу 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Київськоїї</w:t>
            </w: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філії АТ</w:t>
            </w:r>
          </w:p>
          <w:p w:rsidR="007A5DFF" w:rsidRPr="00C815FC" w:rsidP="004A4AFC" w14:paraId="55634D3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«Укртелеком»,</w:t>
            </w:r>
          </w:p>
          <w:p w:rsidR="007A5DFF" w:rsidRPr="00C815FC" w:rsidP="004A4AFC" w14:paraId="5D96449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Оператор ТОВ «БРАВОПОРТ»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:rsidR="007A5DFF" w:rsidRPr="00C815FC" w:rsidP="004A4AFC" w14:paraId="68D2609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Власні кошти</w:t>
            </w:r>
          </w:p>
        </w:tc>
        <w:tc>
          <w:tcPr>
            <w:tcW w:w="1163" w:type="dxa"/>
            <w:gridSpan w:val="2"/>
            <w:tcMar>
              <w:left w:w="105" w:type="dxa"/>
              <w:right w:w="105" w:type="dxa"/>
            </w:tcMar>
          </w:tcPr>
          <w:p w:rsidR="007A5DFF" w:rsidRPr="00C815FC" w:rsidP="004A4AFC" w14:paraId="69D09E3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5DFF" w:rsidRPr="00EA126F" w:rsidP="007A5DFF" w14:paraId="0001DC2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5DFF" w:rsidRPr="00EA126F" w:rsidP="007A5DFF" w14:paraId="626657C5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7A5DFF" w:rsidRPr="00EA126F" w:rsidP="007A5DFF" w14:paraId="0B420E7C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Pr="00C815FC"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F1699F" w:rsidRPr="00EA126F" w:rsidP="00BE2C50" w14:paraId="18507996" w14:textId="08FD6755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C6E9B" w:rsidR="005C6E9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C20891"/>
    <w:multiLevelType w:val="hybridMultilevel"/>
    <w:tmpl w:val="69AAF9CE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C5346"/>
    <w:multiLevelType w:val="hybridMultilevel"/>
    <w:tmpl w:val="60702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70BD"/>
    <w:multiLevelType w:val="hybridMultilevel"/>
    <w:tmpl w:val="A19EA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E4A0A"/>
    <w:multiLevelType w:val="hybridMultilevel"/>
    <w:tmpl w:val="2A86DED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026E"/>
    <w:multiLevelType w:val="hybridMultilevel"/>
    <w:tmpl w:val="EE9C731C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961F6"/>
    <w:multiLevelType w:val="multilevel"/>
    <w:tmpl w:val="27927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0EE62D19"/>
    <w:multiLevelType w:val="hybridMultilevel"/>
    <w:tmpl w:val="E34EDB04"/>
    <w:lvl w:ilvl="0">
      <w:start w:val="1"/>
      <w:numFmt w:val="decimal"/>
      <w:lvlText w:val="6.%1"/>
      <w:lvlJc w:val="left"/>
      <w:pPr>
        <w:ind w:left="76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88" w:hanging="360"/>
      </w:pPr>
    </w:lvl>
    <w:lvl w:ilvl="2" w:tentative="1">
      <w:start w:val="1"/>
      <w:numFmt w:val="lowerRoman"/>
      <w:lvlText w:val="%3."/>
      <w:lvlJc w:val="right"/>
      <w:pPr>
        <w:ind w:left="2208" w:hanging="180"/>
      </w:pPr>
    </w:lvl>
    <w:lvl w:ilvl="3" w:tentative="1">
      <w:start w:val="1"/>
      <w:numFmt w:val="decimal"/>
      <w:lvlText w:val="%4."/>
      <w:lvlJc w:val="left"/>
      <w:pPr>
        <w:ind w:left="2928" w:hanging="360"/>
      </w:pPr>
    </w:lvl>
    <w:lvl w:ilvl="4" w:tentative="1">
      <w:start w:val="1"/>
      <w:numFmt w:val="lowerLetter"/>
      <w:lvlText w:val="%5."/>
      <w:lvlJc w:val="left"/>
      <w:pPr>
        <w:ind w:left="3648" w:hanging="360"/>
      </w:pPr>
    </w:lvl>
    <w:lvl w:ilvl="5" w:tentative="1">
      <w:start w:val="1"/>
      <w:numFmt w:val="lowerRoman"/>
      <w:lvlText w:val="%6."/>
      <w:lvlJc w:val="right"/>
      <w:pPr>
        <w:ind w:left="4368" w:hanging="180"/>
      </w:pPr>
    </w:lvl>
    <w:lvl w:ilvl="6" w:tentative="1">
      <w:start w:val="1"/>
      <w:numFmt w:val="decimal"/>
      <w:lvlText w:val="%7."/>
      <w:lvlJc w:val="left"/>
      <w:pPr>
        <w:ind w:left="5088" w:hanging="360"/>
      </w:pPr>
    </w:lvl>
    <w:lvl w:ilvl="7" w:tentative="1">
      <w:start w:val="1"/>
      <w:numFmt w:val="lowerLetter"/>
      <w:lvlText w:val="%8."/>
      <w:lvlJc w:val="left"/>
      <w:pPr>
        <w:ind w:left="5808" w:hanging="360"/>
      </w:pPr>
    </w:lvl>
    <w:lvl w:ilvl="8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>
    <w:nsid w:val="10960D7B"/>
    <w:multiLevelType w:val="multilevel"/>
    <w:tmpl w:val="A3C07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440"/>
      </w:pPr>
      <w:rPr>
        <w:rFonts w:hint="default"/>
      </w:rPr>
    </w:lvl>
  </w:abstractNum>
  <w:abstractNum w:abstractNumId="8">
    <w:nsid w:val="1582618B"/>
    <w:multiLevelType w:val="multilevel"/>
    <w:tmpl w:val="DF60F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19A200F7"/>
    <w:multiLevelType w:val="hybridMultilevel"/>
    <w:tmpl w:val="4D201F12"/>
    <w:lvl w:ilvl="0">
      <w:start w:val="1"/>
      <w:numFmt w:val="decimal"/>
      <w:lvlText w:val="2.%1"/>
      <w:lvlJc w:val="left"/>
      <w:pPr>
        <w:ind w:left="76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1625D"/>
    <w:multiLevelType w:val="hybridMultilevel"/>
    <w:tmpl w:val="60EA5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352" w:hanging="360"/>
      </w:pPr>
      <w:rPr>
        <w:lang w:val="uk-UA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F5251"/>
    <w:multiLevelType w:val="hybridMultilevel"/>
    <w:tmpl w:val="7A4C1356"/>
    <w:lvl w:ilvl="0">
      <w:start w:val="1"/>
      <w:numFmt w:val="decimal"/>
      <w:lvlText w:val="5.4.%1"/>
      <w:lvlJc w:val="left"/>
      <w:pPr>
        <w:ind w:left="76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F4193"/>
    <w:multiLevelType w:val="hybridMultilevel"/>
    <w:tmpl w:val="DCD2E198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C28C4"/>
    <w:multiLevelType w:val="hybridMultilevel"/>
    <w:tmpl w:val="4C06EBD0"/>
    <w:lvl w:ilvl="0">
      <w:start w:val="1"/>
      <w:numFmt w:val="decimal"/>
      <w:lvlText w:val="2.%1"/>
      <w:lvlJc w:val="left"/>
      <w:pPr>
        <w:ind w:left="76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A3CEE"/>
    <w:multiLevelType w:val="hybridMultilevel"/>
    <w:tmpl w:val="8318B0B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496081"/>
    <w:multiLevelType w:val="hybridMultilevel"/>
    <w:tmpl w:val="F40E880A"/>
    <w:lvl w:ilvl="0">
      <w:start w:val="1"/>
      <w:numFmt w:val="decimal"/>
      <w:lvlText w:val="2.%1"/>
      <w:lvlJc w:val="left"/>
      <w:pPr>
        <w:ind w:left="76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7E3FB7"/>
    <w:multiLevelType w:val="hybridMultilevel"/>
    <w:tmpl w:val="1D50D10E"/>
    <w:lvl w:ilvl="0">
      <w:start w:val="1"/>
      <w:numFmt w:val="decimal"/>
      <w:lvlText w:val="2.%1"/>
      <w:lvlJc w:val="left"/>
      <w:pPr>
        <w:ind w:left="76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9C43BF"/>
    <w:multiLevelType w:val="hybridMultilevel"/>
    <w:tmpl w:val="87F06B68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E61F94"/>
    <w:multiLevelType w:val="multilevel"/>
    <w:tmpl w:val="65ACF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22247903"/>
    <w:multiLevelType w:val="hybridMultilevel"/>
    <w:tmpl w:val="8C7CEA42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5B3821"/>
    <w:multiLevelType w:val="hybridMultilevel"/>
    <w:tmpl w:val="2FDC8B04"/>
    <w:lvl w:ilvl="0">
      <w:start w:val="1"/>
      <w:numFmt w:val="decimal"/>
      <w:lvlText w:val="%1."/>
      <w:lvlJc w:val="left"/>
      <w:pPr>
        <w:ind w:left="753" w:hanging="360"/>
      </w:pPr>
    </w:lvl>
    <w:lvl w:ilvl="1" w:tentative="1">
      <w:start w:val="1"/>
      <w:numFmt w:val="lowerLetter"/>
      <w:lvlText w:val="%2."/>
      <w:lvlJc w:val="left"/>
      <w:pPr>
        <w:ind w:left="1473" w:hanging="360"/>
      </w:pPr>
    </w:lvl>
    <w:lvl w:ilvl="2" w:tentative="1">
      <w:start w:val="1"/>
      <w:numFmt w:val="lowerRoman"/>
      <w:lvlText w:val="%3."/>
      <w:lvlJc w:val="right"/>
      <w:pPr>
        <w:ind w:left="2193" w:hanging="180"/>
      </w:pPr>
    </w:lvl>
    <w:lvl w:ilvl="3" w:tentative="1">
      <w:start w:val="1"/>
      <w:numFmt w:val="decimal"/>
      <w:lvlText w:val="%4."/>
      <w:lvlJc w:val="left"/>
      <w:pPr>
        <w:ind w:left="2913" w:hanging="360"/>
      </w:pPr>
    </w:lvl>
    <w:lvl w:ilvl="4" w:tentative="1">
      <w:start w:val="1"/>
      <w:numFmt w:val="lowerLetter"/>
      <w:lvlText w:val="%5."/>
      <w:lvlJc w:val="left"/>
      <w:pPr>
        <w:ind w:left="3633" w:hanging="360"/>
      </w:pPr>
    </w:lvl>
    <w:lvl w:ilvl="5" w:tentative="1">
      <w:start w:val="1"/>
      <w:numFmt w:val="lowerRoman"/>
      <w:lvlText w:val="%6."/>
      <w:lvlJc w:val="right"/>
      <w:pPr>
        <w:ind w:left="4353" w:hanging="180"/>
      </w:pPr>
    </w:lvl>
    <w:lvl w:ilvl="6" w:tentative="1">
      <w:start w:val="1"/>
      <w:numFmt w:val="decimal"/>
      <w:lvlText w:val="%7."/>
      <w:lvlJc w:val="left"/>
      <w:pPr>
        <w:ind w:left="5073" w:hanging="360"/>
      </w:pPr>
    </w:lvl>
    <w:lvl w:ilvl="7" w:tentative="1">
      <w:start w:val="1"/>
      <w:numFmt w:val="lowerLetter"/>
      <w:lvlText w:val="%8."/>
      <w:lvlJc w:val="left"/>
      <w:pPr>
        <w:ind w:left="5793" w:hanging="360"/>
      </w:pPr>
    </w:lvl>
    <w:lvl w:ilvl="8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1">
    <w:nsid w:val="22F25EFC"/>
    <w:multiLevelType w:val="multilevel"/>
    <w:tmpl w:val="4A6A40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23FD4958"/>
    <w:multiLevelType w:val="hybridMultilevel"/>
    <w:tmpl w:val="72E886EA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573A00"/>
    <w:multiLevelType w:val="hybridMultilevel"/>
    <w:tmpl w:val="9C2E26D0"/>
    <w:lvl w:ilvl="0">
      <w:start w:val="1"/>
      <w:numFmt w:val="decimal"/>
      <w:lvlText w:val="2.%1"/>
      <w:lvlJc w:val="left"/>
      <w:pPr>
        <w:ind w:left="76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DE23CC"/>
    <w:multiLevelType w:val="hybridMultilevel"/>
    <w:tmpl w:val="228CC2B8"/>
    <w:lvl w:ilvl="0">
      <w:start w:val="1"/>
      <w:numFmt w:val="decimal"/>
      <w:lvlText w:val="2.%1"/>
      <w:lvlJc w:val="left"/>
      <w:pPr>
        <w:ind w:left="76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 w:tentative="1">
      <w:start w:val="1"/>
      <w:numFmt w:val="lowerRoman"/>
      <w:lvlText w:val="%3."/>
      <w:lvlJc w:val="right"/>
      <w:pPr>
        <w:ind w:left="2208" w:hanging="180"/>
      </w:pPr>
    </w:lvl>
    <w:lvl w:ilvl="3" w:tentative="1">
      <w:start w:val="1"/>
      <w:numFmt w:val="decimal"/>
      <w:lvlText w:val="%4."/>
      <w:lvlJc w:val="left"/>
      <w:pPr>
        <w:ind w:left="2928" w:hanging="360"/>
      </w:pPr>
    </w:lvl>
    <w:lvl w:ilvl="4" w:tentative="1">
      <w:start w:val="1"/>
      <w:numFmt w:val="lowerLetter"/>
      <w:lvlText w:val="%5."/>
      <w:lvlJc w:val="left"/>
      <w:pPr>
        <w:ind w:left="3648" w:hanging="360"/>
      </w:pPr>
    </w:lvl>
    <w:lvl w:ilvl="5" w:tentative="1">
      <w:start w:val="1"/>
      <w:numFmt w:val="lowerRoman"/>
      <w:lvlText w:val="%6."/>
      <w:lvlJc w:val="right"/>
      <w:pPr>
        <w:ind w:left="4368" w:hanging="180"/>
      </w:pPr>
    </w:lvl>
    <w:lvl w:ilvl="6" w:tentative="1">
      <w:start w:val="1"/>
      <w:numFmt w:val="decimal"/>
      <w:lvlText w:val="%7."/>
      <w:lvlJc w:val="left"/>
      <w:pPr>
        <w:ind w:left="5088" w:hanging="360"/>
      </w:pPr>
    </w:lvl>
    <w:lvl w:ilvl="7" w:tentative="1">
      <w:start w:val="1"/>
      <w:numFmt w:val="lowerLetter"/>
      <w:lvlText w:val="%8."/>
      <w:lvlJc w:val="left"/>
      <w:pPr>
        <w:ind w:left="5808" w:hanging="360"/>
      </w:pPr>
    </w:lvl>
    <w:lvl w:ilvl="8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>
    <w:nsid w:val="2C742553"/>
    <w:multiLevelType w:val="hybridMultilevel"/>
    <w:tmpl w:val="5742E9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752666"/>
    <w:multiLevelType w:val="hybridMultilevel"/>
    <w:tmpl w:val="61C40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B611E5"/>
    <w:multiLevelType w:val="hybridMultilevel"/>
    <w:tmpl w:val="F79489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E468AF"/>
    <w:multiLevelType w:val="hybridMultilevel"/>
    <w:tmpl w:val="A3CA22CE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117895"/>
    <w:multiLevelType w:val="hybridMultilevel"/>
    <w:tmpl w:val="8C32F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D5229C"/>
    <w:multiLevelType w:val="hybridMultilevel"/>
    <w:tmpl w:val="09A8C5F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ED13B5"/>
    <w:multiLevelType w:val="hybridMultilevel"/>
    <w:tmpl w:val="8AD820B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C74535"/>
    <w:multiLevelType w:val="multilevel"/>
    <w:tmpl w:val="3AB0C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>
    <w:nsid w:val="3A521697"/>
    <w:multiLevelType w:val="hybridMultilevel"/>
    <w:tmpl w:val="91283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FC62D4"/>
    <w:multiLevelType w:val="hybridMultilevel"/>
    <w:tmpl w:val="4B509CB2"/>
    <w:lvl w:ilvl="0">
      <w:start w:val="1"/>
      <w:numFmt w:val="decimal"/>
      <w:lvlText w:val="1.%1"/>
      <w:lvlJc w:val="left"/>
      <w:pPr>
        <w:ind w:left="76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 w:tentative="1">
      <w:start w:val="1"/>
      <w:numFmt w:val="lowerRoman"/>
      <w:lvlText w:val="%3."/>
      <w:lvlJc w:val="right"/>
      <w:pPr>
        <w:ind w:left="2208" w:hanging="180"/>
      </w:pPr>
    </w:lvl>
    <w:lvl w:ilvl="3" w:tentative="1">
      <w:start w:val="1"/>
      <w:numFmt w:val="decimal"/>
      <w:lvlText w:val="%4."/>
      <w:lvlJc w:val="left"/>
      <w:pPr>
        <w:ind w:left="2928" w:hanging="360"/>
      </w:pPr>
    </w:lvl>
    <w:lvl w:ilvl="4" w:tentative="1">
      <w:start w:val="1"/>
      <w:numFmt w:val="lowerLetter"/>
      <w:lvlText w:val="%5."/>
      <w:lvlJc w:val="left"/>
      <w:pPr>
        <w:ind w:left="3648" w:hanging="360"/>
      </w:pPr>
    </w:lvl>
    <w:lvl w:ilvl="5" w:tentative="1">
      <w:start w:val="1"/>
      <w:numFmt w:val="lowerRoman"/>
      <w:lvlText w:val="%6."/>
      <w:lvlJc w:val="right"/>
      <w:pPr>
        <w:ind w:left="4368" w:hanging="180"/>
      </w:pPr>
    </w:lvl>
    <w:lvl w:ilvl="6" w:tentative="1">
      <w:start w:val="1"/>
      <w:numFmt w:val="decimal"/>
      <w:lvlText w:val="%7."/>
      <w:lvlJc w:val="left"/>
      <w:pPr>
        <w:ind w:left="5088" w:hanging="360"/>
      </w:pPr>
    </w:lvl>
    <w:lvl w:ilvl="7" w:tentative="1">
      <w:start w:val="1"/>
      <w:numFmt w:val="lowerLetter"/>
      <w:lvlText w:val="%8."/>
      <w:lvlJc w:val="left"/>
      <w:pPr>
        <w:ind w:left="5808" w:hanging="360"/>
      </w:pPr>
    </w:lvl>
    <w:lvl w:ilvl="8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>
    <w:nsid w:val="40EF415B"/>
    <w:multiLevelType w:val="hybridMultilevel"/>
    <w:tmpl w:val="E402AA06"/>
    <w:lvl w:ilvl="0">
      <w:start w:val="1"/>
      <w:numFmt w:val="decimal"/>
      <w:lvlText w:val="2.%1"/>
      <w:lvlJc w:val="left"/>
      <w:pPr>
        <w:ind w:left="76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215846"/>
    <w:multiLevelType w:val="hybridMultilevel"/>
    <w:tmpl w:val="593AA316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A93806"/>
    <w:multiLevelType w:val="hybridMultilevel"/>
    <w:tmpl w:val="293E900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D9688A"/>
    <w:multiLevelType w:val="hybridMultilevel"/>
    <w:tmpl w:val="15DE6C26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2F21A6"/>
    <w:multiLevelType w:val="hybridMultilevel"/>
    <w:tmpl w:val="0E984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DB5780"/>
    <w:multiLevelType w:val="hybridMultilevel"/>
    <w:tmpl w:val="37F05072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175881"/>
    <w:multiLevelType w:val="hybridMultilevel"/>
    <w:tmpl w:val="B66A87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D231BA"/>
    <w:multiLevelType w:val="hybridMultilevel"/>
    <w:tmpl w:val="FF4E1530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D563C9"/>
    <w:multiLevelType w:val="multilevel"/>
    <w:tmpl w:val="1A0C87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>
    <w:nsid w:val="52E67B08"/>
    <w:multiLevelType w:val="hybridMultilevel"/>
    <w:tmpl w:val="85F0CF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B60E6A"/>
    <w:multiLevelType w:val="hybridMultilevel"/>
    <w:tmpl w:val="756E84E2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0E0C34"/>
    <w:multiLevelType w:val="hybridMultilevel"/>
    <w:tmpl w:val="10DADCE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lvlText w:val="5.%2"/>
      <w:lvlJc w:val="left"/>
      <w:pPr>
        <w:ind w:left="768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8A2384"/>
    <w:multiLevelType w:val="hybridMultilevel"/>
    <w:tmpl w:val="784C9604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702D61"/>
    <w:multiLevelType w:val="hybridMultilevel"/>
    <w:tmpl w:val="211A2AB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AF4F1C"/>
    <w:multiLevelType w:val="hybridMultilevel"/>
    <w:tmpl w:val="54A257AE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3A1B48"/>
    <w:multiLevelType w:val="multilevel"/>
    <w:tmpl w:val="EC0E928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95" w:hanging="468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eastAsiaTheme="minorHAnsi" w:cstheme="minorBidi" w:hint="default"/>
      </w:rPr>
    </w:lvl>
  </w:abstractNum>
  <w:abstractNum w:abstractNumId="51">
    <w:nsid w:val="5CA74EBC"/>
    <w:multiLevelType w:val="multilevel"/>
    <w:tmpl w:val="77D6B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>
    <w:nsid w:val="5F7E33E0"/>
    <w:multiLevelType w:val="hybridMultilevel"/>
    <w:tmpl w:val="D9B46268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4850715"/>
    <w:multiLevelType w:val="hybridMultilevel"/>
    <w:tmpl w:val="C6683880"/>
    <w:lvl w:ilvl="0">
      <w:start w:val="1"/>
      <w:numFmt w:val="decimal"/>
      <w:lvlText w:val="5.%1"/>
      <w:lvlJc w:val="left"/>
      <w:pPr>
        <w:ind w:left="76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F51551"/>
    <w:multiLevelType w:val="hybridMultilevel"/>
    <w:tmpl w:val="F452945C"/>
    <w:lvl w:ilvl="0">
      <w:start w:val="1"/>
      <w:numFmt w:val="decimal"/>
      <w:lvlText w:val="6.%1"/>
      <w:lvlJc w:val="left"/>
      <w:pPr>
        <w:ind w:left="76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057911"/>
    <w:multiLevelType w:val="hybridMultilevel"/>
    <w:tmpl w:val="EC52931A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3" w:hanging="360"/>
      </w:pPr>
    </w:lvl>
    <w:lvl w:ilvl="2" w:tentative="1">
      <w:start w:val="1"/>
      <w:numFmt w:val="lowerRoman"/>
      <w:lvlText w:val="%3."/>
      <w:lvlJc w:val="right"/>
      <w:pPr>
        <w:ind w:left="1833" w:hanging="180"/>
      </w:pPr>
    </w:lvl>
    <w:lvl w:ilvl="3" w:tentative="1">
      <w:start w:val="1"/>
      <w:numFmt w:val="decimal"/>
      <w:lvlText w:val="%4."/>
      <w:lvlJc w:val="left"/>
      <w:pPr>
        <w:ind w:left="2553" w:hanging="360"/>
      </w:pPr>
    </w:lvl>
    <w:lvl w:ilvl="4" w:tentative="1">
      <w:start w:val="1"/>
      <w:numFmt w:val="lowerLetter"/>
      <w:lvlText w:val="%5."/>
      <w:lvlJc w:val="left"/>
      <w:pPr>
        <w:ind w:left="3273" w:hanging="360"/>
      </w:pPr>
    </w:lvl>
    <w:lvl w:ilvl="5" w:tentative="1">
      <w:start w:val="1"/>
      <w:numFmt w:val="lowerRoman"/>
      <w:lvlText w:val="%6."/>
      <w:lvlJc w:val="right"/>
      <w:pPr>
        <w:ind w:left="3993" w:hanging="180"/>
      </w:pPr>
    </w:lvl>
    <w:lvl w:ilvl="6" w:tentative="1">
      <w:start w:val="1"/>
      <w:numFmt w:val="decimal"/>
      <w:lvlText w:val="%7."/>
      <w:lvlJc w:val="left"/>
      <w:pPr>
        <w:ind w:left="4713" w:hanging="360"/>
      </w:pPr>
    </w:lvl>
    <w:lvl w:ilvl="7" w:tentative="1">
      <w:start w:val="1"/>
      <w:numFmt w:val="lowerLetter"/>
      <w:lvlText w:val="%8."/>
      <w:lvlJc w:val="left"/>
      <w:pPr>
        <w:ind w:left="5433" w:hanging="360"/>
      </w:pPr>
    </w:lvl>
    <w:lvl w:ilvl="8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6">
    <w:nsid w:val="6B5C6FAE"/>
    <w:multiLevelType w:val="hybridMultilevel"/>
    <w:tmpl w:val="4A4EE7D6"/>
    <w:lvl w:ilvl="0">
      <w:start w:val="1"/>
      <w:numFmt w:val="decimal"/>
      <w:lvlText w:val="2.%1"/>
      <w:lvlJc w:val="left"/>
      <w:pPr>
        <w:ind w:left="76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88" w:hanging="360"/>
      </w:pPr>
    </w:lvl>
    <w:lvl w:ilvl="2" w:tentative="1">
      <w:start w:val="1"/>
      <w:numFmt w:val="lowerRoman"/>
      <w:lvlText w:val="%3."/>
      <w:lvlJc w:val="right"/>
      <w:pPr>
        <w:ind w:left="2208" w:hanging="180"/>
      </w:pPr>
    </w:lvl>
    <w:lvl w:ilvl="3" w:tentative="1">
      <w:start w:val="1"/>
      <w:numFmt w:val="decimal"/>
      <w:lvlText w:val="%4."/>
      <w:lvlJc w:val="left"/>
      <w:pPr>
        <w:ind w:left="2928" w:hanging="360"/>
      </w:pPr>
    </w:lvl>
    <w:lvl w:ilvl="4" w:tentative="1">
      <w:start w:val="1"/>
      <w:numFmt w:val="lowerLetter"/>
      <w:lvlText w:val="%5."/>
      <w:lvlJc w:val="left"/>
      <w:pPr>
        <w:ind w:left="3648" w:hanging="360"/>
      </w:pPr>
    </w:lvl>
    <w:lvl w:ilvl="5" w:tentative="1">
      <w:start w:val="1"/>
      <w:numFmt w:val="lowerRoman"/>
      <w:lvlText w:val="%6."/>
      <w:lvlJc w:val="right"/>
      <w:pPr>
        <w:ind w:left="4368" w:hanging="180"/>
      </w:pPr>
    </w:lvl>
    <w:lvl w:ilvl="6" w:tentative="1">
      <w:start w:val="1"/>
      <w:numFmt w:val="decimal"/>
      <w:lvlText w:val="%7."/>
      <w:lvlJc w:val="left"/>
      <w:pPr>
        <w:ind w:left="5088" w:hanging="360"/>
      </w:pPr>
    </w:lvl>
    <w:lvl w:ilvl="7" w:tentative="1">
      <w:start w:val="1"/>
      <w:numFmt w:val="lowerLetter"/>
      <w:lvlText w:val="%8."/>
      <w:lvlJc w:val="left"/>
      <w:pPr>
        <w:ind w:left="5808" w:hanging="360"/>
      </w:pPr>
    </w:lvl>
    <w:lvl w:ilvl="8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7">
    <w:nsid w:val="6E271803"/>
    <w:multiLevelType w:val="multilevel"/>
    <w:tmpl w:val="BCF6E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nsid w:val="70D02DBC"/>
    <w:multiLevelType w:val="hybridMultilevel"/>
    <w:tmpl w:val="A96E61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975F8"/>
    <w:multiLevelType w:val="multilevel"/>
    <w:tmpl w:val="178820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440"/>
      </w:pPr>
      <w:rPr>
        <w:rFonts w:hint="default"/>
      </w:rPr>
    </w:lvl>
  </w:abstractNum>
  <w:abstractNum w:abstractNumId="60">
    <w:nsid w:val="719538B2"/>
    <w:multiLevelType w:val="hybridMultilevel"/>
    <w:tmpl w:val="63B20428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F6537D"/>
    <w:multiLevelType w:val="hybridMultilevel"/>
    <w:tmpl w:val="65B2DC64"/>
    <w:lvl w:ilvl="0">
      <w:start w:val="1"/>
      <w:numFmt w:val="decimal"/>
      <w:lvlText w:val="5.%1"/>
      <w:lvlJc w:val="left"/>
      <w:pPr>
        <w:ind w:left="76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88" w:hanging="360"/>
      </w:pPr>
    </w:lvl>
    <w:lvl w:ilvl="2" w:tentative="1">
      <w:start w:val="1"/>
      <w:numFmt w:val="lowerRoman"/>
      <w:lvlText w:val="%3."/>
      <w:lvlJc w:val="right"/>
      <w:pPr>
        <w:ind w:left="2208" w:hanging="180"/>
      </w:pPr>
    </w:lvl>
    <w:lvl w:ilvl="3" w:tentative="1">
      <w:start w:val="1"/>
      <w:numFmt w:val="decimal"/>
      <w:lvlText w:val="%4."/>
      <w:lvlJc w:val="left"/>
      <w:pPr>
        <w:ind w:left="2928" w:hanging="360"/>
      </w:pPr>
    </w:lvl>
    <w:lvl w:ilvl="4" w:tentative="1">
      <w:start w:val="1"/>
      <w:numFmt w:val="lowerLetter"/>
      <w:lvlText w:val="%5."/>
      <w:lvlJc w:val="left"/>
      <w:pPr>
        <w:ind w:left="3648" w:hanging="360"/>
      </w:pPr>
    </w:lvl>
    <w:lvl w:ilvl="5" w:tentative="1">
      <w:start w:val="1"/>
      <w:numFmt w:val="lowerRoman"/>
      <w:lvlText w:val="%6."/>
      <w:lvlJc w:val="right"/>
      <w:pPr>
        <w:ind w:left="4368" w:hanging="180"/>
      </w:pPr>
    </w:lvl>
    <w:lvl w:ilvl="6" w:tentative="1">
      <w:start w:val="1"/>
      <w:numFmt w:val="decimal"/>
      <w:lvlText w:val="%7."/>
      <w:lvlJc w:val="left"/>
      <w:pPr>
        <w:ind w:left="5088" w:hanging="360"/>
      </w:pPr>
    </w:lvl>
    <w:lvl w:ilvl="7" w:tentative="1">
      <w:start w:val="1"/>
      <w:numFmt w:val="lowerLetter"/>
      <w:lvlText w:val="%8."/>
      <w:lvlJc w:val="left"/>
      <w:pPr>
        <w:ind w:left="5808" w:hanging="360"/>
      </w:pPr>
    </w:lvl>
    <w:lvl w:ilvl="8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2">
    <w:nsid w:val="767F4285"/>
    <w:multiLevelType w:val="hybridMultilevel"/>
    <w:tmpl w:val="4904A8F8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C4B2BA7"/>
    <w:multiLevelType w:val="hybridMultilevel"/>
    <w:tmpl w:val="54FCAB8E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E0B3379"/>
    <w:multiLevelType w:val="hybridMultilevel"/>
    <w:tmpl w:val="AFFAA708"/>
    <w:lvl w:ilvl="0">
      <w:start w:val="1"/>
      <w:numFmt w:val="decimal"/>
      <w:lvlText w:val="2.%1"/>
      <w:lvlJc w:val="left"/>
      <w:pPr>
        <w:ind w:left="765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5">
    <w:nsid w:val="7E170968"/>
    <w:multiLevelType w:val="hybridMultilevel"/>
    <w:tmpl w:val="1F406064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E624995"/>
    <w:multiLevelType w:val="hybridMultilevel"/>
    <w:tmpl w:val="300A7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3"/>
  </w:num>
  <w:num w:numId="3">
    <w:abstractNumId w:val="59"/>
  </w:num>
  <w:num w:numId="4">
    <w:abstractNumId w:val="57"/>
  </w:num>
  <w:num w:numId="5">
    <w:abstractNumId w:val="41"/>
  </w:num>
  <w:num w:numId="6">
    <w:abstractNumId w:val="29"/>
  </w:num>
  <w:num w:numId="7">
    <w:abstractNumId w:val="5"/>
  </w:num>
  <w:num w:numId="8">
    <w:abstractNumId w:val="18"/>
  </w:num>
  <w:num w:numId="9">
    <w:abstractNumId w:val="26"/>
  </w:num>
  <w:num w:numId="10">
    <w:abstractNumId w:val="34"/>
  </w:num>
  <w:num w:numId="11">
    <w:abstractNumId w:val="2"/>
  </w:num>
  <w:num w:numId="12">
    <w:abstractNumId w:val="56"/>
  </w:num>
  <w:num w:numId="13">
    <w:abstractNumId w:val="50"/>
  </w:num>
  <w:num w:numId="14">
    <w:abstractNumId w:val="22"/>
  </w:num>
  <w:num w:numId="15">
    <w:abstractNumId w:val="30"/>
  </w:num>
  <w:num w:numId="16">
    <w:abstractNumId w:val="55"/>
  </w:num>
  <w:num w:numId="17">
    <w:abstractNumId w:val="7"/>
  </w:num>
  <w:num w:numId="18">
    <w:abstractNumId w:val="64"/>
  </w:num>
  <w:num w:numId="19">
    <w:abstractNumId w:val="24"/>
  </w:num>
  <w:num w:numId="20">
    <w:abstractNumId w:val="38"/>
  </w:num>
  <w:num w:numId="21">
    <w:abstractNumId w:val="19"/>
  </w:num>
  <w:num w:numId="22">
    <w:abstractNumId w:val="52"/>
  </w:num>
  <w:num w:numId="23">
    <w:abstractNumId w:val="12"/>
  </w:num>
  <w:num w:numId="24">
    <w:abstractNumId w:val="37"/>
  </w:num>
  <w:num w:numId="25">
    <w:abstractNumId w:val="61"/>
  </w:num>
  <w:num w:numId="26">
    <w:abstractNumId w:val="6"/>
  </w:num>
  <w:num w:numId="27">
    <w:abstractNumId w:val="1"/>
  </w:num>
  <w:num w:numId="28">
    <w:abstractNumId w:val="45"/>
  </w:num>
  <w:num w:numId="29">
    <w:abstractNumId w:val="9"/>
  </w:num>
  <w:num w:numId="30">
    <w:abstractNumId w:val="28"/>
  </w:num>
  <w:num w:numId="31">
    <w:abstractNumId w:val="47"/>
  </w:num>
  <w:num w:numId="32">
    <w:abstractNumId w:val="53"/>
  </w:num>
  <w:num w:numId="33">
    <w:abstractNumId w:val="54"/>
  </w:num>
  <w:num w:numId="34">
    <w:abstractNumId w:val="0"/>
  </w:num>
  <w:num w:numId="35">
    <w:abstractNumId w:val="27"/>
  </w:num>
  <w:num w:numId="36">
    <w:abstractNumId w:val="32"/>
  </w:num>
  <w:num w:numId="37">
    <w:abstractNumId w:val="16"/>
  </w:num>
  <w:num w:numId="38">
    <w:abstractNumId w:val="42"/>
  </w:num>
  <w:num w:numId="39">
    <w:abstractNumId w:val="62"/>
  </w:num>
  <w:num w:numId="40">
    <w:abstractNumId w:val="35"/>
  </w:num>
  <w:num w:numId="41">
    <w:abstractNumId w:val="17"/>
  </w:num>
  <w:num w:numId="42">
    <w:abstractNumId w:val="48"/>
  </w:num>
  <w:num w:numId="43">
    <w:abstractNumId w:val="46"/>
  </w:num>
  <w:num w:numId="44">
    <w:abstractNumId w:val="21"/>
  </w:num>
  <w:num w:numId="45">
    <w:abstractNumId w:val="11"/>
  </w:num>
  <w:num w:numId="46">
    <w:abstractNumId w:val="40"/>
  </w:num>
  <w:num w:numId="47">
    <w:abstractNumId w:val="33"/>
  </w:num>
  <w:num w:numId="48">
    <w:abstractNumId w:val="31"/>
  </w:num>
  <w:num w:numId="49">
    <w:abstractNumId w:val="36"/>
  </w:num>
  <w:num w:numId="50">
    <w:abstractNumId w:val="63"/>
  </w:num>
  <w:num w:numId="51">
    <w:abstractNumId w:val="49"/>
  </w:num>
  <w:num w:numId="52">
    <w:abstractNumId w:val="15"/>
  </w:num>
  <w:num w:numId="53">
    <w:abstractNumId w:val="14"/>
  </w:num>
  <w:num w:numId="54">
    <w:abstractNumId w:val="23"/>
  </w:num>
  <w:num w:numId="55">
    <w:abstractNumId w:val="4"/>
  </w:num>
  <w:num w:numId="56">
    <w:abstractNumId w:val="3"/>
  </w:num>
  <w:num w:numId="57">
    <w:abstractNumId w:val="58"/>
  </w:num>
  <w:num w:numId="58">
    <w:abstractNumId w:val="66"/>
  </w:num>
  <w:num w:numId="59">
    <w:abstractNumId w:val="25"/>
  </w:num>
  <w:num w:numId="60">
    <w:abstractNumId w:val="60"/>
  </w:num>
  <w:num w:numId="61">
    <w:abstractNumId w:val="13"/>
  </w:num>
  <w:num w:numId="62">
    <w:abstractNumId w:val="39"/>
  </w:num>
  <w:num w:numId="63">
    <w:abstractNumId w:val="44"/>
  </w:num>
  <w:num w:numId="64">
    <w:abstractNumId w:val="65"/>
  </w:num>
  <w:num w:numId="65">
    <w:abstractNumId w:val="8"/>
  </w:num>
  <w:num w:numId="66">
    <w:abstractNumId w:val="20"/>
  </w:num>
  <w:num w:numId="67">
    <w:abstractNumId w:val="5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4279E7"/>
    <w:rsid w:val="004A4AFC"/>
    <w:rsid w:val="00524AF7"/>
    <w:rsid w:val="005C6C54"/>
    <w:rsid w:val="005C6E9B"/>
    <w:rsid w:val="005E68BF"/>
    <w:rsid w:val="00617517"/>
    <w:rsid w:val="00643CA3"/>
    <w:rsid w:val="006F7263"/>
    <w:rsid w:val="007A5DFF"/>
    <w:rsid w:val="00853C00"/>
    <w:rsid w:val="008A5D36"/>
    <w:rsid w:val="00990B1E"/>
    <w:rsid w:val="009E4B16"/>
    <w:rsid w:val="00A84A56"/>
    <w:rsid w:val="00AF203F"/>
    <w:rsid w:val="00B20C04"/>
    <w:rsid w:val="00B933FF"/>
    <w:rsid w:val="00BE2C50"/>
    <w:rsid w:val="00C108EB"/>
    <w:rsid w:val="00C815FC"/>
    <w:rsid w:val="00CB633A"/>
    <w:rsid w:val="00D17470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427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279E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TableNormal"/>
    <w:next w:val="TableGrid"/>
    <w:uiPriority w:val="59"/>
    <w:rsid w:val="007A5DF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7A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4A6BAA"/>
    <w:rsid w:val="00564DF9"/>
    <w:rsid w:val="00651CF5"/>
    <w:rsid w:val="008A5D36"/>
    <w:rsid w:val="00A27E64"/>
    <w:rsid w:val="00B840A4"/>
    <w:rsid w:val="00C2695E"/>
    <w:rsid w:val="00EE35B4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34</Pages>
  <Words>29307</Words>
  <Characters>16705</Characters>
  <Application>Microsoft Office Word</Application>
  <DocSecurity>8</DocSecurity>
  <Lines>139</Lines>
  <Paragraphs>91</Paragraphs>
  <ScaleCrop>false</ScaleCrop>
  <Company/>
  <LinksUpToDate>false</LinksUpToDate>
  <CharactersWithSpaces>45921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acer-02</cp:lastModifiedBy>
  <cp:revision>30</cp:revision>
  <dcterms:created xsi:type="dcterms:W3CDTF">2021-08-31T06:42:00Z</dcterms:created>
  <dcterms:modified xsi:type="dcterms:W3CDTF">2024-08-06T07:43:00Z</dcterms:modified>
</cp:coreProperties>
</file>