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3E" w:rsidRPr="008B77A3" w:rsidRDefault="009F423E" w:rsidP="008B77A3">
      <w:pPr>
        <w:spacing w:after="0" w:line="240" w:lineRule="auto"/>
        <w:ind w:left="5670"/>
        <w:jc w:val="both"/>
        <w:rPr>
          <w:rFonts w:ascii="Times New Roman" w:hAnsi="Times New Roman"/>
          <w:sz w:val="28"/>
          <w:szCs w:val="28"/>
          <w:lang w:val="uk-UA"/>
        </w:rPr>
      </w:pPr>
      <w:r w:rsidRPr="008B77A3">
        <w:rPr>
          <w:rFonts w:ascii="Times New Roman" w:hAnsi="Times New Roman"/>
          <w:sz w:val="28"/>
          <w:szCs w:val="28"/>
          <w:lang w:val="uk-UA"/>
        </w:rPr>
        <w:t>ЗАТВЕРДЖЕНО</w:t>
      </w:r>
    </w:p>
    <w:p w:rsidR="00961452" w:rsidRDefault="000A19D5" w:rsidP="008B77A3">
      <w:pPr>
        <w:spacing w:after="0" w:line="240" w:lineRule="auto"/>
        <w:ind w:left="5670"/>
        <w:jc w:val="both"/>
        <w:rPr>
          <w:rFonts w:ascii="Times New Roman" w:hAnsi="Times New Roman"/>
          <w:sz w:val="28"/>
          <w:szCs w:val="28"/>
          <w:lang w:val="uk-UA"/>
        </w:rPr>
      </w:pPr>
      <w:r>
        <w:rPr>
          <w:rFonts w:ascii="Times New Roman" w:hAnsi="Times New Roman"/>
          <w:sz w:val="28"/>
          <w:szCs w:val="28"/>
          <w:lang w:val="uk-UA"/>
        </w:rPr>
        <w:t>р</w:t>
      </w:r>
      <w:r w:rsidR="009F423E" w:rsidRPr="00490A04">
        <w:rPr>
          <w:rFonts w:ascii="Times New Roman" w:hAnsi="Times New Roman"/>
          <w:sz w:val="28"/>
          <w:szCs w:val="28"/>
          <w:lang w:val="uk-UA"/>
        </w:rPr>
        <w:t xml:space="preserve">ішення Броварської </w:t>
      </w:r>
    </w:p>
    <w:p w:rsidR="000A19D5" w:rsidRDefault="009F423E" w:rsidP="008B77A3">
      <w:pPr>
        <w:spacing w:after="0" w:line="240" w:lineRule="auto"/>
        <w:ind w:left="5670"/>
        <w:jc w:val="both"/>
        <w:rPr>
          <w:rFonts w:ascii="Times New Roman" w:hAnsi="Times New Roman"/>
          <w:sz w:val="28"/>
          <w:szCs w:val="28"/>
          <w:lang w:val="uk-UA"/>
        </w:rPr>
      </w:pPr>
      <w:r w:rsidRPr="00490A04">
        <w:rPr>
          <w:rFonts w:ascii="Times New Roman" w:hAnsi="Times New Roman"/>
          <w:sz w:val="28"/>
          <w:szCs w:val="28"/>
          <w:lang w:val="uk-UA"/>
        </w:rPr>
        <w:t>міської ради</w:t>
      </w:r>
      <w:r w:rsidR="00BC47F6">
        <w:rPr>
          <w:rFonts w:ascii="Times New Roman" w:hAnsi="Times New Roman"/>
          <w:sz w:val="28"/>
          <w:szCs w:val="28"/>
          <w:lang w:val="uk-UA"/>
        </w:rPr>
        <w:t xml:space="preserve"> Київської </w:t>
      </w:r>
    </w:p>
    <w:p w:rsidR="009F423E" w:rsidRPr="00490A04" w:rsidRDefault="00BC47F6" w:rsidP="008B77A3">
      <w:pPr>
        <w:spacing w:after="0" w:line="240" w:lineRule="auto"/>
        <w:ind w:left="5670"/>
        <w:jc w:val="both"/>
        <w:rPr>
          <w:rFonts w:ascii="Times New Roman" w:hAnsi="Times New Roman"/>
          <w:sz w:val="28"/>
          <w:szCs w:val="28"/>
          <w:lang w:val="uk-UA"/>
        </w:rPr>
      </w:pPr>
      <w:r>
        <w:rPr>
          <w:rFonts w:ascii="Times New Roman" w:hAnsi="Times New Roman"/>
          <w:sz w:val="28"/>
          <w:szCs w:val="28"/>
          <w:lang w:val="uk-UA"/>
        </w:rPr>
        <w:t>області</w:t>
      </w:r>
    </w:p>
    <w:p w:rsidR="009F423E" w:rsidRPr="00437F82" w:rsidRDefault="009F423E" w:rsidP="008B77A3">
      <w:pPr>
        <w:spacing w:after="0" w:line="240" w:lineRule="auto"/>
        <w:ind w:left="5670"/>
        <w:jc w:val="both"/>
        <w:rPr>
          <w:rFonts w:ascii="Times New Roman" w:hAnsi="Times New Roman"/>
          <w:sz w:val="28"/>
          <w:szCs w:val="28"/>
          <w:lang w:val="uk-UA"/>
        </w:rPr>
      </w:pPr>
      <w:r w:rsidRPr="00437F82">
        <w:rPr>
          <w:rFonts w:ascii="Times New Roman" w:hAnsi="Times New Roman"/>
          <w:sz w:val="28"/>
          <w:szCs w:val="28"/>
          <w:lang w:val="uk-UA"/>
        </w:rPr>
        <w:t xml:space="preserve">від </w:t>
      </w:r>
      <w:r w:rsidR="00D33390">
        <w:rPr>
          <w:rFonts w:ascii="Times New Roman" w:hAnsi="Times New Roman"/>
          <w:sz w:val="28"/>
          <w:szCs w:val="28"/>
          <w:lang w:val="uk-UA"/>
        </w:rPr>
        <w:t>11 квітня 2019 року</w:t>
      </w:r>
    </w:p>
    <w:p w:rsidR="009F423E" w:rsidRPr="008B77A3" w:rsidRDefault="008B77A3" w:rsidP="008B77A3">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 xml:space="preserve">                                                                           </w:t>
      </w:r>
      <w:r w:rsidR="009F423E" w:rsidRPr="008B77A3">
        <w:rPr>
          <w:rFonts w:ascii="Times New Roman" w:hAnsi="Times New Roman"/>
          <w:sz w:val="28"/>
          <w:szCs w:val="28"/>
          <w:lang w:val="uk-UA"/>
        </w:rPr>
        <w:t xml:space="preserve">№ </w:t>
      </w:r>
      <w:r w:rsidR="00D33390">
        <w:rPr>
          <w:rFonts w:ascii="Times New Roman" w:hAnsi="Times New Roman"/>
          <w:sz w:val="28"/>
          <w:szCs w:val="28"/>
          <w:lang w:val="uk-UA"/>
        </w:rPr>
        <w:t>1341-54-07</w:t>
      </w:r>
    </w:p>
    <w:p w:rsidR="009F423E" w:rsidRDefault="009F423E" w:rsidP="009F423E">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С Т </w:t>
      </w:r>
      <w:r w:rsidRPr="000A19D5">
        <w:rPr>
          <w:rFonts w:ascii="Times New Roman" w:eastAsia="Times New Roman" w:hAnsi="Times New Roman" w:cs="Times New Roman"/>
          <w:b/>
          <w:color w:val="000000"/>
          <w:sz w:val="28"/>
          <w:szCs w:val="28"/>
          <w:lang w:val="uk-UA" w:eastAsia="ru-RU"/>
        </w:rPr>
        <w:t>А</w:t>
      </w:r>
      <w:r w:rsidRPr="000A19D5">
        <w:rPr>
          <w:rFonts w:ascii="Times New Roman" w:eastAsia="Times New Roman" w:hAnsi="Times New Roman" w:cs="Times New Roman"/>
          <w:b/>
          <w:color w:val="000000"/>
          <w:sz w:val="28"/>
          <w:szCs w:val="28"/>
          <w:lang w:eastAsia="ru-RU"/>
        </w:rPr>
        <w:t> Т У Т</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Комунального  підприємства</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Броварської міської ради Київської області</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«ЖИ</w:t>
      </w:r>
      <w:r w:rsidR="00AE6550" w:rsidRPr="000A19D5">
        <w:rPr>
          <w:rFonts w:ascii="Times New Roman" w:eastAsia="Times New Roman" w:hAnsi="Times New Roman" w:cs="Times New Roman"/>
          <w:b/>
          <w:color w:val="000000"/>
          <w:sz w:val="28"/>
          <w:szCs w:val="28"/>
          <w:lang w:eastAsia="ru-RU"/>
        </w:rPr>
        <w:t xml:space="preserve">ТЛОВО-ЕКСПЛУАТАЦІЙНА КОНТОРА - </w:t>
      </w:r>
      <w:r w:rsidR="00E76A09">
        <w:rPr>
          <w:rFonts w:ascii="Times New Roman" w:eastAsia="Times New Roman" w:hAnsi="Times New Roman" w:cs="Times New Roman"/>
          <w:b/>
          <w:color w:val="000000"/>
          <w:sz w:val="28"/>
          <w:szCs w:val="28"/>
          <w:lang w:val="uk-UA" w:eastAsia="ru-RU"/>
        </w:rPr>
        <w:t>1</w:t>
      </w:r>
      <w:r w:rsidRPr="000A19D5">
        <w:rPr>
          <w:rFonts w:ascii="Times New Roman" w:eastAsia="Times New Roman" w:hAnsi="Times New Roman" w:cs="Times New Roman"/>
          <w:b/>
          <w:color w:val="000000"/>
          <w:sz w:val="28"/>
          <w:szCs w:val="28"/>
          <w:lang w:eastAsia="ru-RU"/>
        </w:rPr>
        <w:t>»</w:t>
      </w:r>
    </w:p>
    <w:p w:rsidR="00961452" w:rsidRPr="000A19D5" w:rsidRDefault="00786839"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Ідентифікаційний код 38337163</w:t>
      </w:r>
    </w:p>
    <w:p w:rsidR="00AE6550" w:rsidRPr="000A19D5" w:rsidRDefault="00AE6550"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(нова редакція)</w:t>
      </w: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BC47F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E6550" w:rsidRDefault="00AE6550"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9F423E" w:rsidRDefault="00C04E79"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2019</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E76A09">
        <w:rPr>
          <w:rFonts w:ascii="Times New Roman" w:eastAsia="Times New Roman" w:hAnsi="Times New Roman" w:cs="Times New Roman"/>
          <w:color w:val="000000"/>
          <w:sz w:val="28"/>
          <w:szCs w:val="28"/>
          <w:lang w:val="uk-UA" w:eastAsia="ru-RU"/>
        </w:rPr>
        <w:t>ТЛОВО-ЕКСПЛУАТАЦІЙНА КОНТОРА - 1</w:t>
      </w:r>
      <w:r w:rsidRPr="00961452">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w:t>
      </w:r>
      <w:r w:rsidR="000A19D5">
        <w:rPr>
          <w:rFonts w:ascii="Times New Roman" w:eastAsia="Times New Roman" w:hAnsi="Times New Roman" w:cs="Times New Roman"/>
          <w:color w:val="000000"/>
          <w:sz w:val="28"/>
          <w:szCs w:val="28"/>
          <w:lang w:val="uk-UA" w:eastAsia="ru-RU"/>
        </w:rPr>
        <w:t xml:space="preserve"> Київської області (далі – міська рада)</w:t>
      </w:r>
      <w:r w:rsidRPr="00EC10DB">
        <w:rPr>
          <w:rFonts w:ascii="Times New Roman" w:eastAsia="Times New Roman" w:hAnsi="Times New Roman" w:cs="Times New Roman"/>
          <w:color w:val="000000"/>
          <w:sz w:val="28"/>
          <w:szCs w:val="28"/>
          <w:lang w:eastAsia="ru-RU"/>
        </w:rPr>
        <w:t>, 07400 м. Бровари, вул. Гагаріна, 15 код ЄДРПОУ 26376375</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Управління </w:t>
      </w:r>
      <w:r w:rsidR="006D5EF5">
        <w:rPr>
          <w:rFonts w:ascii="Times New Roman" w:eastAsia="Times New Roman" w:hAnsi="Times New Roman" w:cs="Times New Roman"/>
          <w:color w:val="000000"/>
          <w:sz w:val="28"/>
          <w:szCs w:val="28"/>
          <w:lang w:val="uk-UA" w:eastAsia="ru-RU"/>
        </w:rPr>
        <w:t xml:space="preserve">будівництва, </w:t>
      </w:r>
      <w:r w:rsidRPr="00EC10DB">
        <w:rPr>
          <w:rFonts w:ascii="Times New Roman" w:eastAsia="Times New Roman" w:hAnsi="Times New Roman" w:cs="Times New Roman"/>
          <w:color w:val="000000"/>
          <w:sz w:val="28"/>
          <w:szCs w:val="28"/>
          <w:lang w:val="uk-UA" w:eastAsia="ru-RU"/>
        </w:rPr>
        <w:t>житлово - комунального господарства</w:t>
      </w:r>
      <w:r w:rsidR="006D5EF5">
        <w:rPr>
          <w:rFonts w:ascii="Times New Roman" w:eastAsia="Times New Roman" w:hAnsi="Times New Roman" w:cs="Times New Roman"/>
          <w:color w:val="000000"/>
          <w:sz w:val="28"/>
          <w:szCs w:val="28"/>
          <w:lang w:val="uk-UA" w:eastAsia="ru-RU"/>
        </w:rPr>
        <w:t xml:space="preserve">, інфраструктури та транспорту </w:t>
      </w:r>
      <w:r w:rsidRPr="00EC10DB">
        <w:rPr>
          <w:rFonts w:ascii="Times New Roman" w:eastAsia="Times New Roman" w:hAnsi="Times New Roman" w:cs="Times New Roman"/>
          <w:color w:val="000000"/>
          <w:sz w:val="28"/>
          <w:szCs w:val="28"/>
          <w:lang w:val="uk-UA" w:eastAsia="ru-RU"/>
        </w:rPr>
        <w:t xml:space="preserve">Броварської міської ради </w:t>
      </w:r>
      <w:r w:rsidR="00437F82">
        <w:rPr>
          <w:rFonts w:ascii="Times New Roman" w:eastAsia="Times New Roman" w:hAnsi="Times New Roman" w:cs="Times New Roman"/>
          <w:color w:val="000000"/>
          <w:sz w:val="28"/>
          <w:szCs w:val="28"/>
          <w:lang w:val="uk-UA" w:eastAsia="ru-RU"/>
        </w:rPr>
        <w:t xml:space="preserve">Київської області </w:t>
      </w:r>
      <w:r w:rsidRPr="00EC10DB">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Повне найменування Підприємства: Комунальне підприємство Броварської міської ради Київської області «ЖИ</w:t>
      </w:r>
      <w:r w:rsidR="00AE6550">
        <w:rPr>
          <w:rFonts w:ascii="Times New Roman" w:eastAsia="Times New Roman" w:hAnsi="Times New Roman" w:cs="Times New Roman"/>
          <w:color w:val="000000"/>
          <w:sz w:val="28"/>
          <w:szCs w:val="28"/>
          <w:lang w:val="uk-UA" w:eastAsia="ru-RU"/>
        </w:rPr>
        <w:t xml:space="preserve">ТЛОВО-ЕКСПЛУАТАЦІЙНА КОНТОРА - </w:t>
      </w:r>
      <w:r w:rsidR="00E76A09">
        <w:rPr>
          <w:rFonts w:ascii="Times New Roman" w:eastAsia="Times New Roman" w:hAnsi="Times New Roman" w:cs="Times New Roman"/>
          <w:color w:val="000000"/>
          <w:sz w:val="28"/>
          <w:szCs w:val="28"/>
          <w:lang w:val="uk-UA" w:eastAsia="ru-RU"/>
        </w:rPr>
        <w:t>1</w:t>
      </w:r>
      <w:r w:rsidRPr="00EC10DB">
        <w:rPr>
          <w:rFonts w:ascii="Times New Roman" w:eastAsia="Times New Roman" w:hAnsi="Times New Roman" w:cs="Times New Roman"/>
          <w:color w:val="000000"/>
          <w:sz w:val="28"/>
          <w:szCs w:val="28"/>
          <w:lang w:val="uk-UA" w:eastAsia="ru-RU"/>
        </w:rPr>
        <w:t>».</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Скорочене найменув</w:t>
      </w:r>
      <w:r w:rsidR="00E76A09">
        <w:rPr>
          <w:rFonts w:ascii="Times New Roman" w:eastAsia="Times New Roman" w:hAnsi="Times New Roman" w:cs="Times New Roman"/>
          <w:color w:val="000000"/>
          <w:sz w:val="28"/>
          <w:szCs w:val="28"/>
          <w:lang w:eastAsia="ru-RU"/>
        </w:rPr>
        <w:t>ання Підприємства: - КП «ЖЕК - 1</w:t>
      </w:r>
      <w:r w:rsidRPr="00EC10DB">
        <w:rPr>
          <w:rFonts w:ascii="Times New Roman" w:eastAsia="Times New Roman" w:hAnsi="Times New Roman" w:cs="Times New Roman"/>
          <w:color w:val="000000"/>
          <w:sz w:val="28"/>
          <w:szCs w:val="28"/>
          <w:lang w:eastAsia="ru-RU"/>
        </w:rPr>
        <w:t>».</w:t>
      </w:r>
    </w:p>
    <w:p w:rsidR="00F66893"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Місцезнаходження Підприємства: Украї</w:t>
      </w:r>
      <w:r w:rsidR="00437F82">
        <w:rPr>
          <w:rFonts w:ascii="Times New Roman" w:eastAsia="Times New Roman" w:hAnsi="Times New Roman" w:cs="Times New Roman"/>
          <w:color w:val="000000"/>
          <w:sz w:val="28"/>
          <w:szCs w:val="28"/>
          <w:lang w:eastAsia="ru-RU"/>
        </w:rPr>
        <w:t>на</w:t>
      </w:r>
      <w:r w:rsidR="00F66893">
        <w:rPr>
          <w:rFonts w:ascii="Times New Roman" w:eastAsia="Times New Roman" w:hAnsi="Times New Roman" w:cs="Times New Roman"/>
          <w:color w:val="000000"/>
          <w:sz w:val="28"/>
          <w:szCs w:val="28"/>
          <w:lang w:eastAsia="ru-RU"/>
        </w:rPr>
        <w:t xml:space="preserve">, 07400, Київська область, </w:t>
      </w:r>
    </w:p>
    <w:p w:rsidR="009F423E" w:rsidRPr="00AE6550" w:rsidRDefault="00F66893" w:rsidP="00F66893">
      <w:pPr>
        <w:pStyle w:val="a3"/>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AE6550">
        <w:rPr>
          <w:rFonts w:ascii="Times New Roman" w:eastAsia="Times New Roman" w:hAnsi="Times New Roman" w:cs="Times New Roman"/>
          <w:color w:val="000000"/>
          <w:sz w:val="28"/>
          <w:szCs w:val="28"/>
          <w:lang w:eastAsia="ru-RU"/>
        </w:rPr>
        <w:t>Бровари, б</w:t>
      </w:r>
      <w:r w:rsidR="009F423E" w:rsidRPr="00EC10DB">
        <w:rPr>
          <w:rFonts w:ascii="Times New Roman" w:eastAsia="Times New Roman" w:hAnsi="Times New Roman" w:cs="Times New Roman"/>
          <w:color w:val="000000"/>
          <w:sz w:val="28"/>
          <w:szCs w:val="28"/>
          <w:lang w:eastAsia="ru-RU"/>
        </w:rPr>
        <w:t>ул</w:t>
      </w:r>
      <w:r w:rsidR="00BC0ECE">
        <w:rPr>
          <w:rFonts w:ascii="Times New Roman" w:eastAsia="Times New Roman" w:hAnsi="Times New Roman" w:cs="Times New Roman"/>
          <w:color w:val="000000"/>
          <w:sz w:val="28"/>
          <w:szCs w:val="28"/>
          <w:lang w:val="uk-UA" w:eastAsia="ru-RU"/>
        </w:rPr>
        <w:t>ьв</w:t>
      </w:r>
      <w:r w:rsidR="00437F82">
        <w:rPr>
          <w:rFonts w:ascii="Times New Roman" w:eastAsia="Times New Roman" w:hAnsi="Times New Roman" w:cs="Times New Roman"/>
          <w:color w:val="000000"/>
          <w:sz w:val="28"/>
          <w:szCs w:val="28"/>
          <w:lang w:eastAsia="ru-RU"/>
        </w:rPr>
        <w:t>.</w:t>
      </w:r>
      <w:r w:rsidR="00AE6550">
        <w:rPr>
          <w:rFonts w:ascii="Times New Roman" w:eastAsia="Times New Roman" w:hAnsi="Times New Roman" w:cs="Times New Roman"/>
          <w:color w:val="000000"/>
          <w:sz w:val="28"/>
          <w:szCs w:val="28"/>
          <w:lang w:val="uk-UA" w:eastAsia="ru-RU"/>
        </w:rPr>
        <w:t>Незалежності, 9-а.</w:t>
      </w:r>
    </w:p>
    <w:p w:rsidR="00AE6550" w:rsidRPr="009173E6" w:rsidRDefault="0056058A"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 xml:space="preserve">Підприємство має відокремлене майно, закріплене за ним на праві повного господарського відання, вправі на умовах цього Статуту та </w:t>
      </w:r>
      <w:r w:rsidRPr="00EC10DB">
        <w:rPr>
          <w:rFonts w:ascii="Times New Roman" w:eastAsia="Times New Roman" w:hAnsi="Times New Roman" w:cs="Times New Roman"/>
          <w:color w:val="000000"/>
          <w:sz w:val="28"/>
          <w:szCs w:val="28"/>
          <w:lang w:eastAsia="ru-RU"/>
        </w:rPr>
        <w:lastRenderedPageBreak/>
        <w:t>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утримання житлових будинків і нежитлових приміщень та прибудинкових територій комунальної власності міста, закріплених за Підприємством, забезпечення їх належного санітарного та технічного стану.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обладнання дитячих майданчиків;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ліфтів та енергопостачання для ліфтів ;</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освітленн</w:t>
      </w:r>
      <w:r w:rsidR="00E76A09">
        <w:rPr>
          <w:rFonts w:ascii="Times New Roman" w:eastAsia="Times New Roman" w:hAnsi="Times New Roman" w:cs="Times New Roman"/>
          <w:color w:val="000000"/>
          <w:sz w:val="28"/>
          <w:szCs w:val="28"/>
          <w:lang w:eastAsia="ru-RU"/>
        </w:rPr>
        <w:t>я місць загального користування</w:t>
      </w:r>
      <w:r w:rsidRPr="00D92D94">
        <w:rPr>
          <w:rFonts w:ascii="Times New Roman" w:eastAsia="Times New Roman" w:hAnsi="Times New Roman" w:cs="Times New Roman"/>
          <w:color w:val="000000"/>
          <w:sz w:val="28"/>
          <w:szCs w:val="28"/>
          <w:lang w:eastAsia="ru-RU"/>
        </w:rPr>
        <w:t>, підвалів, відкачка води;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1F35C3">
        <w:rPr>
          <w:rFonts w:ascii="Times New Roman" w:eastAsia="Times New Roman" w:hAnsi="Times New Roman" w:cs="Times New Roman"/>
          <w:color w:val="000000"/>
          <w:sz w:val="28"/>
          <w:szCs w:val="28"/>
          <w:lang w:val="uk-UA" w:eastAsia="ru-RU"/>
        </w:rPr>
        <w:t>про обов’</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E76A09" w:rsidRDefault="00E76A09" w:rsidP="00E76A09">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3.2.21.</w:t>
      </w:r>
      <w:r w:rsidR="006D5EF5" w:rsidRPr="00E76A09">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E76A09"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76A09">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0A19D5" w:rsidRPr="00E76A09">
        <w:rPr>
          <w:rFonts w:ascii="Times New Roman" w:eastAsia="Times New Roman" w:hAnsi="Times New Roman" w:cs="Times New Roman"/>
          <w:color w:val="000000"/>
          <w:sz w:val="28"/>
          <w:szCs w:val="28"/>
          <w:lang w:eastAsia="ru-RU"/>
        </w:rPr>
        <w:t>и, платежів до міс</w:t>
      </w:r>
      <w:r w:rsidR="000A19D5" w:rsidRPr="00E76A09">
        <w:rPr>
          <w:rFonts w:ascii="Times New Roman" w:eastAsia="Times New Roman" w:hAnsi="Times New Roman" w:cs="Times New Roman"/>
          <w:color w:val="000000"/>
          <w:sz w:val="28"/>
          <w:szCs w:val="28"/>
          <w:lang w:val="uk-UA" w:eastAsia="ru-RU"/>
        </w:rPr>
        <w:t>цевого</w:t>
      </w:r>
      <w:r w:rsidR="000A19D5" w:rsidRPr="00E76A09">
        <w:rPr>
          <w:rFonts w:ascii="Times New Roman" w:eastAsia="Times New Roman" w:hAnsi="Times New Roman" w:cs="Times New Roman"/>
          <w:color w:val="000000"/>
          <w:sz w:val="28"/>
          <w:szCs w:val="28"/>
          <w:lang w:eastAsia="ru-RU"/>
        </w:rPr>
        <w:t xml:space="preserve"> бюджету</w:t>
      </w:r>
      <w:r w:rsidR="000A19D5" w:rsidRPr="00E76A09">
        <w:rPr>
          <w:rFonts w:ascii="Times New Roman" w:eastAsia="Times New Roman" w:hAnsi="Times New Roman" w:cs="Times New Roman"/>
          <w:color w:val="000000"/>
          <w:sz w:val="28"/>
          <w:szCs w:val="28"/>
          <w:lang w:val="uk-UA" w:eastAsia="ru-RU"/>
        </w:rPr>
        <w:t>;</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пусконалагоджувальних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платних транспортних послуг;</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та/або проектних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зведення несучих та огороджувальних конструкцій будівель та споруд;</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E76A09"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76A09">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E76A09">
      <w:pPr>
        <w:pStyle w:val="a3"/>
        <w:numPr>
          <w:ilvl w:val="1"/>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E76A09">
      <w:pPr>
        <w:pStyle w:val="a3"/>
        <w:numPr>
          <w:ilvl w:val="1"/>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Pr>
          <w:rFonts w:ascii="Times New Roman" w:eastAsia="Times New Roman" w:hAnsi="Times New Roman" w:cs="Times New Roman"/>
          <w:color w:val="000000"/>
          <w:sz w:val="28"/>
          <w:szCs w:val="28"/>
          <w:lang w:val="uk-UA" w:eastAsia="ru-RU"/>
        </w:rPr>
        <w:t>м</w:t>
      </w:r>
      <w:r w:rsidRPr="00610E0C">
        <w:rPr>
          <w:rFonts w:ascii="Times New Roman" w:eastAsia="Times New Roman" w:hAnsi="Times New Roman" w:cs="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Підприємство має право створювати філії, представництва, відділення та інші відокремлені підрозділи, що не є юридичними особами, які </w:t>
      </w:r>
      <w:r w:rsidRPr="00610E0C">
        <w:rPr>
          <w:rFonts w:ascii="Times New Roman" w:eastAsia="Times New Roman" w:hAnsi="Times New Roman" w:cs="Times New Roman"/>
          <w:color w:val="000000"/>
          <w:sz w:val="28"/>
          <w:szCs w:val="28"/>
          <w:lang w:eastAsia="ru-RU"/>
        </w:rPr>
        <w:lastRenderedPageBreak/>
        <w:t>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До виняткової компетенції Засновника в особі міської ради належить:</w:t>
      </w:r>
    </w:p>
    <w:p w:rsid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збільшення (зменшення) статутного фонду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ініціатива щодо відчуження основних засобів та нерухомого майна, які є комунальною власністю територіальної громади міста, яка здійснюється </w:t>
      </w:r>
      <w:r w:rsidR="00DC5AFC">
        <w:rPr>
          <w:rFonts w:ascii="Times New Roman" w:eastAsia="Times New Roman" w:hAnsi="Times New Roman" w:cs="Times New Roman"/>
          <w:color w:val="000000"/>
          <w:sz w:val="28"/>
          <w:szCs w:val="28"/>
          <w:lang w:val="uk-UA" w:eastAsia="ru-RU"/>
        </w:rPr>
        <w:t xml:space="preserve">за рішенням Засновника в особі </w:t>
      </w:r>
      <w:r w:rsidRPr="001A6BDC">
        <w:rPr>
          <w:rFonts w:ascii="Times New Roman" w:eastAsia="Times New Roman" w:hAnsi="Times New Roman" w:cs="Times New Roman"/>
          <w:color w:val="000000"/>
          <w:sz w:val="28"/>
          <w:szCs w:val="28"/>
          <w:lang w:val="uk-UA" w:eastAsia="ru-RU"/>
        </w:rPr>
        <w:t xml:space="preserve"> міської ради;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погодження структури управління, чисельності штату, облікової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Броварським 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розпоряджається коштами і майном Підприємства відповідно до чинного законодавства;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lastRenderedPageBreak/>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є комунальною власністю територіальної громади міста Бровари і закріплюється за Під</w:t>
      </w:r>
      <w:r w:rsidR="001A6BDC">
        <w:rPr>
          <w:rFonts w:ascii="Times New Roman" w:eastAsia="Times New Roman" w:hAnsi="Times New Roman" w:cs="Times New Roman"/>
          <w:color w:val="000000"/>
          <w:sz w:val="28"/>
          <w:szCs w:val="28"/>
          <w:lang w:eastAsia="ru-RU"/>
        </w:rPr>
        <w:t xml:space="preserve">приємством на праві повного </w:t>
      </w:r>
      <w:r w:rsidRPr="001A6BDC">
        <w:rPr>
          <w:rFonts w:ascii="Times New Roman" w:eastAsia="Times New Roman" w:hAnsi="Times New Roman" w:cs="Times New Roman"/>
          <w:color w:val="000000"/>
          <w:sz w:val="28"/>
          <w:szCs w:val="28"/>
          <w:lang w:eastAsia="ru-RU"/>
        </w:rPr>
        <w:t>господарського відання.</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кошти, одержані з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на виконання державних або комунальних програм, затверджених міською радою;</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інші джерела, не заборонені чинним законодавством України..</w:t>
      </w:r>
    </w:p>
    <w:p w:rsidR="00E76A09" w:rsidRPr="00FC504A" w:rsidRDefault="00FC504A" w:rsidP="00FC504A">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C504A">
        <w:rPr>
          <w:rFonts w:ascii="Times New Roman" w:eastAsia="Times New Roman" w:hAnsi="Times New Roman" w:cs="Times New Roman"/>
          <w:color w:val="000000"/>
          <w:sz w:val="28"/>
          <w:szCs w:val="28"/>
          <w:lang w:val="uk-UA" w:eastAsia="ru-RU"/>
        </w:rPr>
        <w:t>Статутний фонд Підприємства утворюється Засновником в особі Броварської міської ради та становить 968 440 (дев’ятсот шістдесят вісім тисяч чотириста сорок) грн. та формується протягом діяльності підприємства.</w:t>
      </w:r>
      <w:bookmarkStart w:id="0" w:name="_GoBack"/>
      <w:bookmarkEnd w:id="0"/>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DC5AFC">
        <w:rPr>
          <w:rFonts w:ascii="Times New Roman" w:eastAsia="Times New Roman" w:hAnsi="Times New Roman" w:cs="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DC5AFC">
        <w:rPr>
          <w:rFonts w:ascii="Times New Roman" w:eastAsia="Times New Roman" w:hAnsi="Times New Roman" w:cs="Times New Roman"/>
          <w:color w:val="000000"/>
          <w:sz w:val="28"/>
          <w:szCs w:val="28"/>
          <w:lang w:val="uk-UA" w:eastAsia="ru-RU"/>
        </w:rPr>
        <w:t xml:space="preserve">Київської області </w:t>
      </w:r>
      <w:r w:rsidRPr="00DC5AFC">
        <w:rPr>
          <w:rFonts w:ascii="Times New Roman" w:eastAsia="Times New Roman" w:hAnsi="Times New Roman" w:cs="Times New Roman"/>
          <w:color w:val="000000"/>
          <w:sz w:val="28"/>
          <w:szCs w:val="28"/>
          <w:lang w:val="uk-UA" w:eastAsia="ru-RU"/>
        </w:rPr>
        <w:t xml:space="preserve">в установленому </w:t>
      </w:r>
      <w:r w:rsidR="00DC5AFC">
        <w:rPr>
          <w:rFonts w:ascii="Times New Roman" w:eastAsia="Times New Roman" w:hAnsi="Times New Roman" w:cs="Times New Roman"/>
          <w:color w:val="000000"/>
          <w:sz w:val="28"/>
          <w:szCs w:val="28"/>
          <w:lang w:val="uk-UA" w:eastAsia="ru-RU"/>
        </w:rPr>
        <w:t>законом п</w:t>
      </w:r>
      <w:r w:rsidRPr="00DC5AFC">
        <w:rPr>
          <w:rFonts w:ascii="Times New Roman" w:eastAsia="Times New Roman" w:hAnsi="Times New Roman" w:cs="Times New Roman"/>
          <w:color w:val="000000"/>
          <w:sz w:val="28"/>
          <w:szCs w:val="28"/>
          <w:lang w:val="uk-UA" w:eastAsia="ru-RU"/>
        </w:rPr>
        <w:t>орядку.</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міської ради.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Розмір частки прибутку Підприємства, яка підлягає зарахуванню до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встановлюється за рішенням Засновника в особі ї міської ради.</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 xml:space="preserve">Трудовий колектив формується з громадян, які своєю працею приймають участь у його діяльності на підставі трудового договору або </w:t>
      </w:r>
      <w:r w:rsidRPr="00F02BFB">
        <w:rPr>
          <w:rFonts w:ascii="Times New Roman" w:eastAsia="Times New Roman" w:hAnsi="Times New Roman" w:cs="Times New Roman"/>
          <w:color w:val="000000"/>
          <w:sz w:val="28"/>
          <w:szCs w:val="28"/>
          <w:lang w:val="uk-UA" w:eastAsia="ru-RU"/>
        </w:rPr>
        <w:lastRenderedPageBreak/>
        <w:t>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9F423E"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02BFB" w:rsidRDefault="00F02BFB" w:rsidP="00F02BFB">
      <w:pPr>
        <w:pStyle w:val="a3"/>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F423E"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w:t>
      </w:r>
      <w:r w:rsidRPr="00F02BFB">
        <w:rPr>
          <w:rFonts w:ascii="Times New Roman" w:eastAsia="Times New Roman" w:hAnsi="Times New Roman" w:cs="Times New Roman"/>
          <w:color w:val="000000"/>
          <w:sz w:val="28"/>
          <w:szCs w:val="28"/>
          <w:lang w:eastAsia="ru-RU"/>
        </w:rPr>
        <w:lastRenderedPageBreak/>
        <w:t>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lastRenderedPageBreak/>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Міський голова                                                 І. В. Сапожко</w:t>
      </w:r>
    </w:p>
    <w:p w:rsidR="00176C24" w:rsidRPr="009F423E" w:rsidRDefault="00455E86" w:rsidP="00EC10DB">
      <w:pPr>
        <w:spacing w:line="240" w:lineRule="auto"/>
        <w:jc w:val="both"/>
        <w:rPr>
          <w:rFonts w:ascii="Times New Roman" w:hAnsi="Times New Roman" w:cs="Times New Roman"/>
          <w:sz w:val="28"/>
          <w:szCs w:val="28"/>
        </w:rPr>
      </w:pPr>
    </w:p>
    <w:sectPr w:rsidR="00176C24" w:rsidRPr="009F423E" w:rsidSect="00AD7E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E86" w:rsidRDefault="00455E86" w:rsidP="00BC47F6">
      <w:pPr>
        <w:spacing w:after="0" w:line="240" w:lineRule="auto"/>
      </w:pPr>
      <w:r>
        <w:separator/>
      </w:r>
    </w:p>
  </w:endnote>
  <w:endnote w:type="continuationSeparator" w:id="1">
    <w:p w:rsidR="00455E86" w:rsidRDefault="00455E86"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E86" w:rsidRDefault="00455E86" w:rsidP="00BC47F6">
      <w:pPr>
        <w:spacing w:after="0" w:line="240" w:lineRule="auto"/>
      </w:pPr>
      <w:r>
        <w:separator/>
      </w:r>
    </w:p>
  </w:footnote>
  <w:footnote w:type="continuationSeparator" w:id="1">
    <w:p w:rsidR="00455E86" w:rsidRDefault="00455E86"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080BE5"/>
    <w:multiLevelType w:val="multilevel"/>
    <w:tmpl w:val="E7B48D96"/>
    <w:lvl w:ilvl="0">
      <w:start w:val="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1034"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lvlOverride w:ilvl="0">
      <w:startOverride w:val="2"/>
    </w:lvlOverride>
  </w:num>
  <w:num w:numId="3">
    <w:abstractNumId w:val="4"/>
    <w:lvlOverride w:ilvl="0">
      <w:startOverride w:val="3"/>
    </w:lvlOverride>
  </w:num>
  <w:num w:numId="4">
    <w:abstractNumId w:val="12"/>
    <w:lvlOverride w:ilvl="0">
      <w:startOverride w:val="4"/>
    </w:lvlOverride>
  </w:num>
  <w:num w:numId="5">
    <w:abstractNumId w:val="20"/>
    <w:lvlOverride w:ilvl="0">
      <w:startOverride w:val="5"/>
    </w:lvlOverride>
  </w:num>
  <w:num w:numId="6">
    <w:abstractNumId w:val="17"/>
    <w:lvlOverride w:ilvl="0">
      <w:startOverride w:val="6"/>
    </w:lvlOverride>
  </w:num>
  <w:num w:numId="7">
    <w:abstractNumId w:val="3"/>
    <w:lvlOverride w:ilvl="0">
      <w:startOverride w:val="7"/>
    </w:lvlOverride>
  </w:num>
  <w:num w:numId="8">
    <w:abstractNumId w:val="19"/>
    <w:lvlOverride w:ilvl="0">
      <w:startOverride w:val="8"/>
    </w:lvlOverride>
  </w:num>
  <w:num w:numId="9">
    <w:abstractNumId w:val="21"/>
    <w:lvlOverride w:ilvl="0">
      <w:startOverride w:val="9"/>
    </w:lvlOverride>
  </w:num>
  <w:num w:numId="10">
    <w:abstractNumId w:val="5"/>
    <w:lvlOverride w:ilvl="0">
      <w:startOverride w:val="10"/>
    </w:lvlOverride>
  </w:num>
  <w:num w:numId="11">
    <w:abstractNumId w:val="2"/>
  </w:num>
  <w:num w:numId="12">
    <w:abstractNumId w:val="1"/>
  </w:num>
  <w:num w:numId="13">
    <w:abstractNumId w:val="11"/>
  </w:num>
  <w:num w:numId="14">
    <w:abstractNumId w:val="0"/>
  </w:num>
  <w:num w:numId="15">
    <w:abstractNumId w:val="14"/>
  </w:num>
  <w:num w:numId="16">
    <w:abstractNumId w:val="6"/>
  </w:num>
  <w:num w:numId="17">
    <w:abstractNumId w:val="7"/>
  </w:num>
  <w:num w:numId="18">
    <w:abstractNumId w:val="13"/>
  </w:num>
  <w:num w:numId="19">
    <w:abstractNumId w:val="18"/>
  </w:num>
  <w:num w:numId="20">
    <w:abstractNumId w:val="8"/>
  </w:num>
  <w:num w:numId="21">
    <w:abstractNumId w:val="16"/>
  </w:num>
  <w:num w:numId="22">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23E"/>
    <w:rsid w:val="00060A2A"/>
    <w:rsid w:val="00085C5E"/>
    <w:rsid w:val="000A19D5"/>
    <w:rsid w:val="000D19FB"/>
    <w:rsid w:val="001472DF"/>
    <w:rsid w:val="001A6BDC"/>
    <w:rsid w:val="001F35C3"/>
    <w:rsid w:val="00352320"/>
    <w:rsid w:val="00437F82"/>
    <w:rsid w:val="00455E86"/>
    <w:rsid w:val="00460F84"/>
    <w:rsid w:val="00485DFF"/>
    <w:rsid w:val="00490A04"/>
    <w:rsid w:val="0056058A"/>
    <w:rsid w:val="005D73D0"/>
    <w:rsid w:val="005F7828"/>
    <w:rsid w:val="00605B45"/>
    <w:rsid w:val="00610E0C"/>
    <w:rsid w:val="00681E53"/>
    <w:rsid w:val="006A2C34"/>
    <w:rsid w:val="006D5EF5"/>
    <w:rsid w:val="00704AEB"/>
    <w:rsid w:val="00756AFB"/>
    <w:rsid w:val="00786839"/>
    <w:rsid w:val="007E4599"/>
    <w:rsid w:val="008B77A3"/>
    <w:rsid w:val="008C1AFF"/>
    <w:rsid w:val="009173E6"/>
    <w:rsid w:val="00961452"/>
    <w:rsid w:val="009824FB"/>
    <w:rsid w:val="009F423E"/>
    <w:rsid w:val="00AD7EDA"/>
    <w:rsid w:val="00AE6550"/>
    <w:rsid w:val="00BC0ECE"/>
    <w:rsid w:val="00BC47F6"/>
    <w:rsid w:val="00BD07E3"/>
    <w:rsid w:val="00BF1C86"/>
    <w:rsid w:val="00C04E79"/>
    <w:rsid w:val="00C27B95"/>
    <w:rsid w:val="00C57BEC"/>
    <w:rsid w:val="00C90AC4"/>
    <w:rsid w:val="00D33390"/>
    <w:rsid w:val="00D92D94"/>
    <w:rsid w:val="00DC5AFC"/>
    <w:rsid w:val="00E75138"/>
    <w:rsid w:val="00E76A09"/>
    <w:rsid w:val="00EC10DB"/>
    <w:rsid w:val="00F02BFB"/>
    <w:rsid w:val="00F47CC5"/>
    <w:rsid w:val="00F66893"/>
    <w:rsid w:val="00F94FF2"/>
    <w:rsid w:val="00FC5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C462-6DD1-4B5E-91A1-76A55237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3477</Words>
  <Characters>19824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9</cp:revision>
  <cp:lastPrinted>2019-03-11T08:37:00Z</cp:lastPrinted>
  <dcterms:created xsi:type="dcterms:W3CDTF">2019-03-11T07:11:00Z</dcterms:created>
  <dcterms:modified xsi:type="dcterms:W3CDTF">2019-04-11T13:22:00Z</dcterms:modified>
</cp:coreProperties>
</file>