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2D" w:rsidRDefault="0081042D" w:rsidP="0081042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042D" w:rsidRPr="00411F47" w:rsidRDefault="0081042D" w:rsidP="0081042D">
      <w:pPr>
        <w:pStyle w:val="a3"/>
        <w:ind w:left="4900" w:hanging="4900"/>
        <w:rPr>
          <w:b w:val="0"/>
          <w:sz w:val="28"/>
          <w:szCs w:val="28"/>
        </w:rPr>
      </w:pPr>
      <w:r>
        <w:rPr>
          <w:b w:val="0"/>
          <w:sz w:val="27"/>
          <w:szCs w:val="27"/>
        </w:rPr>
        <w:t xml:space="preserve">                                   </w:t>
      </w:r>
      <w:r>
        <w:rPr>
          <w:b w:val="0"/>
          <w:sz w:val="28"/>
          <w:szCs w:val="28"/>
        </w:rPr>
        <w:t>ЗАТВЕРДЖЕНО</w:t>
      </w:r>
    </w:p>
    <w:p w:rsidR="0081042D" w:rsidRDefault="0081042D" w:rsidP="0081042D">
      <w:pPr>
        <w:pStyle w:val="a3"/>
        <w:jc w:val="left"/>
        <w:rPr>
          <w:b w:val="0"/>
          <w:sz w:val="28"/>
          <w:szCs w:val="28"/>
        </w:rPr>
      </w:pPr>
      <w:r w:rsidRPr="00411F47">
        <w:rPr>
          <w:b w:val="0"/>
          <w:sz w:val="28"/>
          <w:szCs w:val="28"/>
        </w:rPr>
        <w:t xml:space="preserve">                                                            </w:t>
      </w:r>
      <w:r>
        <w:rPr>
          <w:b w:val="0"/>
          <w:sz w:val="28"/>
          <w:szCs w:val="28"/>
        </w:rPr>
        <w:t>Рішення</w:t>
      </w:r>
      <w:r w:rsidR="00942A10">
        <w:rPr>
          <w:b w:val="0"/>
          <w:sz w:val="28"/>
          <w:szCs w:val="28"/>
        </w:rPr>
        <w:t>м</w:t>
      </w:r>
    </w:p>
    <w:p w:rsidR="0081042D" w:rsidRPr="00411F47" w:rsidRDefault="00942A10" w:rsidP="00942A10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 w:rsidR="0081042D" w:rsidRPr="00411F47">
        <w:rPr>
          <w:b w:val="0"/>
          <w:sz w:val="28"/>
          <w:szCs w:val="28"/>
        </w:rPr>
        <w:t xml:space="preserve">Броварської міської ради </w:t>
      </w:r>
    </w:p>
    <w:p w:rsidR="0081042D" w:rsidRPr="00411F47" w:rsidRDefault="0081042D" w:rsidP="0081042D">
      <w:pPr>
        <w:pStyle w:val="a3"/>
        <w:jc w:val="left"/>
        <w:rPr>
          <w:b w:val="0"/>
          <w:sz w:val="28"/>
          <w:szCs w:val="28"/>
        </w:rPr>
      </w:pPr>
      <w:r w:rsidRPr="00411F47">
        <w:rPr>
          <w:b w:val="0"/>
          <w:sz w:val="28"/>
          <w:szCs w:val="28"/>
        </w:rPr>
        <w:t xml:space="preserve">                                                            Київської області</w:t>
      </w:r>
    </w:p>
    <w:p w:rsidR="0081042D" w:rsidRDefault="0081042D" w:rsidP="0081042D">
      <w:pPr>
        <w:pStyle w:val="a3"/>
        <w:jc w:val="left"/>
        <w:rPr>
          <w:b w:val="0"/>
          <w:sz w:val="28"/>
          <w:szCs w:val="28"/>
        </w:rPr>
      </w:pPr>
      <w:r w:rsidRPr="00411F47">
        <w:rPr>
          <w:b w:val="0"/>
          <w:sz w:val="28"/>
          <w:szCs w:val="28"/>
        </w:rPr>
        <w:t xml:space="preserve">                                               </w:t>
      </w:r>
      <w:r w:rsidR="0041528A">
        <w:rPr>
          <w:b w:val="0"/>
          <w:sz w:val="28"/>
          <w:szCs w:val="28"/>
        </w:rPr>
        <w:t xml:space="preserve">             від 28.11.2019 року</w:t>
      </w:r>
    </w:p>
    <w:p w:rsidR="0081042D" w:rsidRPr="00411F47" w:rsidRDefault="0081042D" w:rsidP="0081042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 w:rsidR="0041528A">
        <w:rPr>
          <w:b w:val="0"/>
          <w:sz w:val="28"/>
          <w:szCs w:val="28"/>
        </w:rPr>
        <w:t>№ 1690-65-07</w:t>
      </w:r>
    </w:p>
    <w:p w:rsidR="0081042D" w:rsidRPr="00411F47" w:rsidRDefault="0081042D" w:rsidP="0081042D">
      <w:pPr>
        <w:rPr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Pr="00411F47" w:rsidRDefault="0081042D" w:rsidP="0081042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411F47">
        <w:rPr>
          <w:rFonts w:ascii="Times New Roman" w:hAnsi="Times New Roman" w:cs="Times New Roman"/>
          <w:b/>
          <w:bCs/>
          <w:sz w:val="44"/>
          <w:szCs w:val="44"/>
          <w:lang w:val="uk-UA"/>
        </w:rPr>
        <w:t>Програма</w:t>
      </w:r>
    </w:p>
    <w:p w:rsidR="0081042D" w:rsidRPr="00411F47" w:rsidRDefault="0081042D" w:rsidP="0081042D">
      <w:pPr>
        <w:jc w:val="center"/>
        <w:rPr>
          <w:b/>
          <w:bCs/>
          <w:sz w:val="44"/>
          <w:szCs w:val="44"/>
          <w:lang w:val="uk-UA"/>
        </w:rPr>
      </w:pP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регулювання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чисельності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безпритульних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тварин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 </w:t>
      </w:r>
      <w:proofErr w:type="gram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</w:t>
      </w:r>
      <w:proofErr w:type="gram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Бровари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на 20</w:t>
      </w:r>
      <w:proofErr w:type="spellStart"/>
      <w:r w:rsidRPr="00411F4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20</w:t>
      </w:r>
      <w:proofErr w:type="spellEnd"/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-20</w:t>
      </w:r>
      <w:r w:rsidRPr="00411F4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4</w:t>
      </w:r>
      <w:r w:rsidRPr="00411F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роки</w:t>
      </w: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942A10" w:rsidRDefault="00942A10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Pr="00411F47" w:rsidRDefault="0081042D" w:rsidP="0081042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411F47">
        <w:rPr>
          <w:rFonts w:ascii="Times New Roman" w:hAnsi="Times New Roman" w:cs="Times New Roman"/>
          <w:b/>
          <w:bCs/>
          <w:sz w:val="44"/>
          <w:szCs w:val="44"/>
          <w:lang w:val="uk-UA"/>
        </w:rPr>
        <w:t>2019 рік</w:t>
      </w: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p w:rsidR="0081042D" w:rsidRPr="006F0B96" w:rsidRDefault="0081042D" w:rsidP="008104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Паспорт</w:t>
      </w:r>
    </w:p>
    <w:p w:rsidR="0081042D" w:rsidRDefault="0081042D" w:rsidP="00810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81042D" w:rsidRPr="006F0B96" w:rsidRDefault="0081042D" w:rsidP="0081042D">
      <w:pPr>
        <w:jc w:val="center"/>
        <w:rPr>
          <w:b/>
          <w:bCs/>
          <w:sz w:val="28"/>
          <w:szCs w:val="28"/>
          <w:lang w:val="uk-UA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81042D" w:rsidRDefault="0081042D" w:rsidP="0081042D">
      <w:pPr>
        <w:rPr>
          <w:b/>
          <w:bCs/>
          <w:sz w:val="28"/>
          <w:szCs w:val="28"/>
          <w:lang w:val="uk-UA"/>
        </w:rPr>
      </w:pPr>
    </w:p>
    <w:tbl>
      <w:tblPr>
        <w:tblStyle w:val="a7"/>
        <w:tblW w:w="0" w:type="auto"/>
        <w:tblLook w:val="01E0"/>
      </w:tblPr>
      <w:tblGrid>
        <w:gridCol w:w="544"/>
        <w:gridCol w:w="3815"/>
        <w:gridCol w:w="5212"/>
      </w:tblGrid>
      <w:tr w:rsidR="0081042D" w:rsidRPr="006F0B96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81042D" w:rsidRPr="006F0B96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будівництва, </w:t>
            </w:r>
            <w:r w:rsidRPr="006F0B96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>, інфраструктури та транспорту</w:t>
            </w:r>
            <w:r w:rsidRPr="006F0B96">
              <w:rPr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81042D" w:rsidRPr="006F0B96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en-US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 xml:space="preserve">Замовник 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Броварська міська рада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81042D" w:rsidRPr="0041528A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81042D" w:rsidRPr="009C62EC" w:rsidRDefault="0081042D" w:rsidP="00646711">
            <w:pPr>
              <w:rPr>
                <w:sz w:val="28"/>
                <w:szCs w:val="28"/>
                <w:lang w:val="uk-UA"/>
              </w:rPr>
            </w:pPr>
            <w:r w:rsidRPr="009C62EC">
              <w:rPr>
                <w:sz w:val="28"/>
                <w:szCs w:val="28"/>
                <w:lang w:val="uk-UA"/>
              </w:rPr>
              <w:t>Броварськ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районн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9C62EC">
              <w:rPr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9C62EC">
              <w:rPr>
                <w:sz w:val="28"/>
                <w:szCs w:val="28"/>
                <w:lang w:val="uk-UA"/>
              </w:rPr>
              <w:t>Держсанепідслужби</w:t>
            </w:r>
            <w:proofErr w:type="spellEnd"/>
            <w:r w:rsidRPr="009C62EC">
              <w:rPr>
                <w:sz w:val="28"/>
                <w:szCs w:val="28"/>
                <w:lang w:val="uk-UA"/>
              </w:rPr>
              <w:t xml:space="preserve"> України у Київській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C62EC">
              <w:rPr>
                <w:sz w:val="28"/>
                <w:szCs w:val="28"/>
                <w:lang w:val="uk-UA"/>
              </w:rPr>
              <w:t>громадські та благодійні організації</w:t>
            </w:r>
          </w:p>
        </w:tc>
      </w:tr>
      <w:tr w:rsidR="0081042D" w:rsidRPr="006F0B96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F0B96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F0B9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1042D" w:rsidRPr="006C23F0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  <w:r w:rsidRPr="006F0B96">
              <w:rPr>
                <w:sz w:val="28"/>
                <w:szCs w:val="28"/>
                <w:lang w:val="uk-UA"/>
              </w:rPr>
              <w:t>Місцевий бюджет, інші джерела</w:t>
            </w:r>
            <w:r>
              <w:rPr>
                <w:sz w:val="28"/>
                <w:szCs w:val="28"/>
                <w:lang w:val="uk-UA"/>
              </w:rPr>
              <w:t xml:space="preserve"> не заборонені чинним законодавством</w:t>
            </w:r>
          </w:p>
        </w:tc>
      </w:tr>
      <w:tr w:rsidR="0081042D" w:rsidRPr="006F0B96" w:rsidTr="00646711">
        <w:tc>
          <w:tcPr>
            <w:tcW w:w="544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815" w:type="dxa"/>
          </w:tcPr>
          <w:p w:rsidR="0081042D" w:rsidRPr="006F0B96" w:rsidRDefault="0081042D" w:rsidP="00646711">
            <w:pPr>
              <w:rPr>
                <w:b/>
                <w:sz w:val="28"/>
                <w:szCs w:val="28"/>
                <w:lang w:val="uk-UA"/>
              </w:rPr>
            </w:pPr>
            <w:r w:rsidRPr="006F0B96">
              <w:rPr>
                <w:b/>
                <w:sz w:val="28"/>
                <w:szCs w:val="28"/>
                <w:lang w:val="uk-UA"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</w:tcPr>
          <w:p w:rsidR="0081042D" w:rsidRPr="006F0B96" w:rsidRDefault="0081042D" w:rsidP="00646711">
            <w:pPr>
              <w:spacing w:line="300" w:lineRule="exact"/>
              <w:rPr>
                <w:b/>
                <w:color w:val="000000"/>
                <w:sz w:val="28"/>
                <w:szCs w:val="28"/>
              </w:rPr>
            </w:pPr>
            <w:r w:rsidRPr="00374E71">
              <w:rPr>
                <w:b/>
                <w:sz w:val="28"/>
                <w:szCs w:val="28"/>
                <w:lang w:val="uk-UA"/>
              </w:rPr>
              <w:t xml:space="preserve">   12 053,703 тис. грн.</w:t>
            </w:r>
            <w:r w:rsidRPr="00374E71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6F0B96">
              <w:rPr>
                <w:b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F0B96">
              <w:rPr>
                <w:b/>
                <w:color w:val="000000"/>
                <w:sz w:val="28"/>
                <w:szCs w:val="28"/>
              </w:rPr>
              <w:t>саме</w:t>
            </w:r>
            <w:proofErr w:type="spellEnd"/>
            <w:r w:rsidRPr="006F0B9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F0B96">
              <w:rPr>
                <w:b/>
                <w:color w:val="000000"/>
                <w:sz w:val="28"/>
                <w:szCs w:val="28"/>
              </w:rPr>
              <w:t>по</w:t>
            </w:r>
            <w:proofErr w:type="gramEnd"/>
            <w:r w:rsidRPr="006F0B96">
              <w:rPr>
                <w:b/>
                <w:color w:val="000000"/>
                <w:sz w:val="28"/>
                <w:szCs w:val="28"/>
              </w:rPr>
              <w:t xml:space="preserve"> роках: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0B96">
              <w:rPr>
                <w:color w:val="000000"/>
                <w:sz w:val="28"/>
                <w:szCs w:val="28"/>
              </w:rPr>
              <w:t>Місцевий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бюджет: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1 758,703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9 320,0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320,0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325,0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330,0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  <w:lang w:val="uk-UA"/>
              </w:rPr>
              <w:t>Інші джерела фінансування</w:t>
            </w:r>
            <w:r w:rsidRPr="006F0B96">
              <w:rPr>
                <w:color w:val="000000"/>
                <w:sz w:val="28"/>
                <w:szCs w:val="28"/>
              </w:rPr>
              <w:t>: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</w:t>
            </w:r>
            <w:r w:rsidRPr="006F0B96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 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spacing w:line="300" w:lineRule="exact"/>
              <w:rPr>
                <w:color w:val="000000"/>
                <w:sz w:val="28"/>
                <w:szCs w:val="28"/>
              </w:rPr>
            </w:pPr>
            <w:r w:rsidRPr="006F0B96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F0B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0B9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F0B96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F0B96">
              <w:rPr>
                <w:color w:val="000000"/>
                <w:sz w:val="28"/>
                <w:szCs w:val="28"/>
              </w:rPr>
              <w:t xml:space="preserve">тис. </w:t>
            </w:r>
            <w:proofErr w:type="spellStart"/>
            <w:r w:rsidRPr="006F0B96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6F0B96">
              <w:rPr>
                <w:color w:val="000000"/>
                <w:sz w:val="28"/>
                <w:szCs w:val="28"/>
              </w:rPr>
              <w:t>.</w:t>
            </w:r>
          </w:p>
          <w:p w:rsidR="0081042D" w:rsidRPr="006F0B96" w:rsidRDefault="0081042D" w:rsidP="0064671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042D" w:rsidRPr="006F0B96" w:rsidRDefault="0081042D" w:rsidP="008104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042D" w:rsidRPr="006F0B96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Pr="006F0B96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Pr="006F0B96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Pr="006F0B96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2A10" w:rsidRPr="006F0B96" w:rsidRDefault="00942A10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Pr="00F57B06" w:rsidRDefault="0081042D" w:rsidP="0081042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ЗМІСТ</w:t>
      </w:r>
    </w:p>
    <w:p w:rsidR="0081042D" w:rsidRPr="00F57B06" w:rsidRDefault="0081042D" w:rsidP="0081042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Загальні положення.</w:t>
      </w:r>
    </w:p>
    <w:p w:rsidR="0081042D" w:rsidRPr="00F57B06" w:rsidRDefault="0081042D" w:rsidP="0081042D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Мета Програми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1042D" w:rsidRPr="00F57B06" w:rsidRDefault="0081042D" w:rsidP="0081042D">
      <w:pPr>
        <w:pStyle w:val="a6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Цілі та завдання Програми.</w:t>
      </w:r>
    </w:p>
    <w:p w:rsidR="0081042D" w:rsidRPr="00F57B06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Шляхи реалізації Програми.</w:t>
      </w:r>
    </w:p>
    <w:p w:rsidR="0081042D" w:rsidRDefault="0081042D" w:rsidP="0081042D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4.1. </w:t>
      </w:r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Склад </w:t>
      </w: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проблеми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обґрунтування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необхідності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її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розв’язання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81042D" w:rsidRPr="00F57B06" w:rsidRDefault="0081042D" w:rsidP="0081042D">
      <w:pPr>
        <w:ind w:left="709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програмним</w:t>
      </w:r>
      <w:proofErr w:type="spellEnd"/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методом</w:t>
      </w:r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:rsidR="0081042D" w:rsidRDefault="0081042D" w:rsidP="0081042D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4.2. 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Шляхи та способи розв’язання проблеми.</w:t>
      </w:r>
    </w:p>
    <w:p w:rsidR="0081042D" w:rsidRDefault="0081042D" w:rsidP="0081042D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 Створення притулку для безпритульних тварин.</w:t>
      </w:r>
    </w:p>
    <w:p w:rsidR="0081042D" w:rsidRPr="00F57B06" w:rsidRDefault="0081042D" w:rsidP="0081042D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</w:rPr>
        <w:t xml:space="preserve">Участь </w:t>
      </w:r>
      <w:proofErr w:type="spellStart"/>
      <w:r w:rsidRPr="00F57B06">
        <w:rPr>
          <w:rFonts w:ascii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F57B0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bCs/>
          <w:sz w:val="28"/>
          <w:szCs w:val="28"/>
        </w:rPr>
        <w:t>благодійних</w:t>
      </w:r>
      <w:proofErr w:type="spellEnd"/>
      <w:r w:rsidRPr="00F57B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Cs/>
          <w:sz w:val="28"/>
          <w:szCs w:val="28"/>
        </w:rPr>
        <w:t>організацій</w:t>
      </w:r>
      <w:proofErr w:type="spellEnd"/>
      <w:r w:rsidRPr="00F57B0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57B06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F57B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1042D" w:rsidRPr="00F57B06" w:rsidRDefault="0081042D" w:rsidP="0081042D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Економічне забезпечення Програми.</w:t>
      </w:r>
    </w:p>
    <w:p w:rsidR="0081042D" w:rsidRPr="00F57B06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Очікувані результати виконання Програми.</w:t>
      </w:r>
    </w:p>
    <w:p w:rsidR="0081042D" w:rsidRPr="00F57B06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8. Заходи виконання Програми.</w:t>
      </w: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42A10" w:rsidRDefault="00942A10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042D" w:rsidRPr="00F57B06" w:rsidRDefault="0081042D" w:rsidP="0081042D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Загальні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положення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81042D" w:rsidRPr="00F57B06" w:rsidRDefault="0081042D" w:rsidP="008104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чисельності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в м.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Бровари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роки (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розроблена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аконів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»,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тваринний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F57B06">
        <w:rPr>
          <w:rFonts w:ascii="Times New Roman" w:hAnsi="Times New Roman" w:cs="Times New Roman"/>
          <w:color w:val="000000"/>
          <w:sz w:val="28"/>
          <w:szCs w:val="28"/>
        </w:rPr>
        <w:t>іт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»,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охорону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»,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ветеринарну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медицину»,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епідемічного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благополуччя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» та «Про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хвороб</w:t>
      </w:r>
      <w:proofErr w:type="gramEnd"/>
      <w:r w:rsidRPr="00F57B0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Необхідність розроблення Програми викликана перебуванням великої кількості безпритульних тварин на території міста, що у свою чергу призводить до погіршення його санітарно-епідеміологічного та екологічного стану, якості життя мешканців і гостей міста, загибелі тварин та жорстокого поводження з ними. Програма спрямована на цивілізоване вирішення цих ситуацій шляхом зменшення чисельності безпритульних тварин гуманними методами, а також донесення до суспільної свідомості населення стандартів гуманного поводження з тваринами.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Основними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причинами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появи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безпритульних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тварин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вулицях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proofErr w:type="spellEnd"/>
      <w:proofErr w:type="gram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є:</w:t>
      </w:r>
      <w:proofErr w:type="gramEnd"/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низький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івень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поводження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домашніми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тваринами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недосконала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proofErr w:type="spellStart"/>
      <w:proofErr w:type="gram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обл</w:t>
      </w:r>
      <w:proofErr w:type="gram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іку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тварин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належать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власникам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недостатня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власниками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тварин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тому</w:t>
      </w:r>
      <w:proofErr w:type="gram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адміністративно-правовому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полі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стерилізації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появі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>небажаного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потомства; 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-недосконала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система пошуку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загублених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тварин;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-відсутність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притулків. 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Проблема забезпечення належних умов утримання тварин і поводження з ними, регулювання чисельності безпритульних тварин є комплексною і вимагає залучення різних структур міста для її </w:t>
      </w:r>
      <w:proofErr w:type="spellStart"/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вирішенняі</w:t>
      </w:r>
      <w:proofErr w:type="spellEnd"/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планування на довгострокову перспективу.</w:t>
      </w:r>
    </w:p>
    <w:p w:rsidR="0081042D" w:rsidRPr="00BD6DDF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Програмою передбачено створення ефективного механізму взаємодії виконавчих органів Броварської  міської ради Київської області (далі – міська рада), відповідних служб, установ, комунальних підприємств, громадських організацій та фізичних осіб щодо регулювання кількості безпритульних тварин на основі гуманного поводження та відповідального ставлення до них.</w:t>
      </w: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 своїй основній частині базується на ідеї стерилізації й супроводу безпритульних тварин (стерилізовані тварини, які повертаються до попереднього ареалу перебування, обов’язково повинні легко візуально </w:t>
      </w:r>
      <w:proofErr w:type="spellStart"/>
      <w:r w:rsidRPr="00F57B06">
        <w:rPr>
          <w:rFonts w:ascii="Times New Roman" w:hAnsi="Times New Roman" w:cs="Times New Roman"/>
          <w:sz w:val="28"/>
          <w:szCs w:val="28"/>
          <w:lang w:val="uk-UA"/>
        </w:rPr>
        <w:t>ідентифіковуватися</w:t>
      </w:r>
      <w:proofErr w:type="spellEnd"/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 та знаходитися під опікою фізичної або юридичної особи), регулювання кількості безпритульних тварин шляхом їх відлову, стерилізації та утримання в притулках або міні-притулках. </w:t>
      </w: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A10" w:rsidRPr="00F57B06" w:rsidRDefault="00942A10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7B0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042D" w:rsidRPr="00F57B06" w:rsidRDefault="0081042D" w:rsidP="0081042D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Мета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Програми</w:t>
      </w:r>
      <w:proofErr w:type="spellEnd"/>
    </w:p>
    <w:p w:rsidR="0081042D" w:rsidRPr="00F57B06" w:rsidRDefault="0081042D" w:rsidP="008104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>         Основною метою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є координація дій органів </w:t>
      </w:r>
      <w:proofErr w:type="gramStart"/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</w:t>
      </w:r>
      <w:proofErr w:type="gramEnd"/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іх гілок міської влади, суб’єктів господарювання та активізація населення для створення умов, що сприятимуть наведенню порядку щодо питань поводження з тваринами, обмеження їх шкідливого впливу на благоустрій міста та здоров’я  людей, відповідальність за жорстоке поводження з тваринами. Програма направлена на зменшення кількості безпритульних в м. Бровари на основі гуманного та відповідального ставлення до них, визначення прав та обов’язків фізичних та юридичних осіб, які опікуються безпритульними тваринами, зміну громадської думки у бік цивілізованого, гуманного та етичного ставлення до тварин, що благодійно вплине на виховання підростаючого покоління і моральний клімат у суспільстві.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Цілі та завдання Програми.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1042D" w:rsidRPr="00F57B06" w:rsidRDefault="0081042D" w:rsidP="0081042D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досягнення поставленої мети передбачається виконання наступних завдань: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розроблення і впровадження системи обліку, реєстрації та ідентифікації безпритульних тварин;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 розроблення і впровадження системи масової стерилізації, щеплення, профілактичних обробок та лікування безпритульних тварин: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розроблення та впровадження заходів щодо підтримки супроводу безпритульних тварин;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будівництво притулку для безпритульних тварин: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- 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соціального центру стерилізації та вакцинації від сказу безпритульних тварин;</w:t>
      </w:r>
    </w:p>
    <w:p w:rsidR="0081042D" w:rsidRPr="00F57B06" w:rsidRDefault="0081042D" w:rsidP="0081042D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розробка і впровадження системи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інформаційнопросвітницьких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 стосовно гуманного поводження з безпритульними тваринами, влаштування безпритульних тварин, пропагування стерилізації домашніх тварин тощо. 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1042D" w:rsidRPr="00F57B06" w:rsidRDefault="0081042D" w:rsidP="0081042D">
      <w:pPr>
        <w:pStyle w:val="a6"/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Шляхи реалізації Програми</w:t>
      </w:r>
      <w:r w:rsidRPr="00F57B0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4.1. </w:t>
      </w:r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Склад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проблеми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обґрунтування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необхідності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її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розв’язання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програмним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методом</w:t>
      </w:r>
      <w:r w:rsidRPr="00F57B06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.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Безпритульні тварини становлять значну небезпеку для здоров</w:t>
      </w:r>
      <w:r w:rsidRPr="00F5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’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людей, часто є носіями небезпечних для них інфекцій (збудників паразитарних хвороб). Останнім часом збільшилась кількість людей, постраждалих від нападів безпритульних тварин. Також існує проблема, пов’язана із зростанням їх чисельності, яка повинна бути вирішена. 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опуляція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поповнюється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    -  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розмноження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    - 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мали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власника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але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загублені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викинуті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вулицю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- 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мігрували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приміських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районі</w:t>
      </w:r>
      <w:proofErr w:type="gram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на так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звані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вільні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даний час в м. Бровари є ціла низка невирішених питань у сфері регулювання чисельності безпритульних тварин, а саме: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відсутня система відповідальності власників тварин на законодавчому рівні;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відсутність повного обліку тварин, що знаходяться у володінні в населення та на підприємствах;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відсутність притулку для безпритульних тварин;</w:t>
      </w:r>
    </w:p>
    <w:p w:rsidR="0081042D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недостатнє інформування населення та виховання громадян щодо гуманного ставлення до тварин.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57B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4.2. Шляхи та способи розв’язання проблеми.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Головними шляхами реалізації Програми є: 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здійснення обліку, реєстрації та ідентифікації тварин, які утримуються юридичними та фізичними особами;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57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планування та вжиття щорічних протиепізоотичних заходів, а саме: обов’язкова вакцинація домашніх тварин, що випускаються на волю, від сказу; 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створення відповідної інфраструктури регулювання чисельності безпритульних тварин гуманними методами шляхом їх вилову, стерилізації, ідентифікації, вакцинації, профілактичних обробок та повернення їх на місце вилову;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проведення інформаційно-просвітницької роботи в напрямку гуманного поводження з безпритульними та домашніми тваринами, влаштування безпритульних тварин, пропагування стерилізації домашніх тварин тощо;</w:t>
      </w:r>
    </w:p>
    <w:p w:rsidR="0081042D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- застосування у визначених випадках гуманної </w:t>
      </w:r>
      <w:proofErr w:type="spellStart"/>
      <w:r w:rsidRPr="00F57B06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F57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042D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Pr="00AA39C9" w:rsidRDefault="0081042D" w:rsidP="0081042D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39C9">
        <w:rPr>
          <w:rFonts w:ascii="Times New Roman" w:hAnsi="Times New Roman" w:cs="Times New Roman"/>
          <w:b/>
          <w:sz w:val="26"/>
          <w:szCs w:val="26"/>
          <w:lang w:val="uk-UA"/>
        </w:rPr>
        <w:t>4.3. Створення притулку для безпритульних тварин.</w:t>
      </w:r>
    </w:p>
    <w:p w:rsidR="0081042D" w:rsidRPr="009973AF" w:rsidRDefault="0081042D" w:rsidP="008104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дівництв</w:t>
      </w:r>
      <w:proofErr w:type="spellEnd"/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притулку</w:t>
      </w:r>
      <w:proofErr w:type="spellEnd"/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безпритульних тварин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безпритульних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роками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накопичуються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проблем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погіршення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санітарно-епідеміологічного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стану,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загроза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укусів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бездомними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тваринами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шум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вночі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</w:t>
      </w:r>
      <w:proofErr w:type="gram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42D" w:rsidRPr="00C25843" w:rsidRDefault="0081042D" w:rsidP="008104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безпритульних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proofErr w:type="gram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вирішує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будівництва,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інфраструктури та транспорту Броварської міської ради Київської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укладання договорів на проведення стерилізації та вакцинації  з організаціями, які проводять діяльність в наданні цих послуг</w:t>
      </w:r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стерилізації, вакцинації від сказу та післяопераційного перетримання безпритульних тварин повертають на місце вилову. 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 для того щоб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працюва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повній мірі, необхідн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притулок для тварин із 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приміщення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вольєри європейського типу, операційна, післяопераційне відділення, карантин, ізолятор та інше</w:t>
      </w:r>
      <w:r w:rsidRPr="00C2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042D" w:rsidRPr="00C25843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84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Рішенням Броварської міської ради Київської області від 11.04.2019 р. № 1364-54-07  затверджено  проект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надання в постійне користування управлінню будівництва, житлово-комунального господарства, інфраструктури та транспорту Броварської міської ради Київської області земельної ділянки </w:t>
      </w:r>
      <w:r w:rsidRPr="00C25843">
        <w:rPr>
          <w:rFonts w:ascii="Times New Roman" w:hAnsi="Times New Roman" w:cs="Times New Roman"/>
          <w:sz w:val="28"/>
          <w:szCs w:val="28"/>
          <w:lang w:val="uk-UA"/>
        </w:rPr>
        <w:t xml:space="preserve">площею 0,6000 га для будівництва та обслуговування будівель закладів комунального обслуговування (притулок для тварин). Вказана земельна ділянка знаходиться по вул. </w:t>
      </w:r>
      <w:proofErr w:type="spellStart"/>
      <w:r w:rsidRPr="00C25843">
        <w:rPr>
          <w:rFonts w:ascii="Times New Roman" w:hAnsi="Times New Roman" w:cs="Times New Roman"/>
          <w:sz w:val="28"/>
          <w:szCs w:val="28"/>
          <w:lang w:val="uk-UA"/>
        </w:rPr>
        <w:t>Онікієнка</w:t>
      </w:r>
      <w:proofErr w:type="spellEnd"/>
      <w:r w:rsidRPr="00C25843">
        <w:rPr>
          <w:rFonts w:ascii="Times New Roman" w:hAnsi="Times New Roman" w:cs="Times New Roman"/>
          <w:sz w:val="28"/>
          <w:szCs w:val="28"/>
          <w:lang w:val="uk-UA"/>
        </w:rPr>
        <w:t xml:space="preserve"> Олега в районі кладовища.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будівництва притулку з’явиться змога безпритульн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тварин після 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стерилізації та вакцинації залишат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притулку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proofErr w:type="gram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іалізовані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стерилізовані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повертаються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помешкання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подальшому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некомфортних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невиліковно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тварини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іддаються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евтаназії</w:t>
      </w:r>
      <w:proofErr w:type="spellEnd"/>
      <w:r w:rsidRPr="0099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042D" w:rsidRPr="00992DC6" w:rsidRDefault="0081042D" w:rsidP="008104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F57B06">
        <w:rPr>
          <w:sz w:val="28"/>
          <w:szCs w:val="28"/>
        </w:rPr>
        <w:t>Евтаназію</w:t>
      </w:r>
      <w:proofErr w:type="spellEnd"/>
      <w:r w:rsidRPr="00F57B06">
        <w:rPr>
          <w:sz w:val="28"/>
          <w:szCs w:val="28"/>
        </w:rPr>
        <w:t xml:space="preserve"> </w:t>
      </w:r>
      <w:proofErr w:type="spellStart"/>
      <w:r w:rsidRPr="00F57B06">
        <w:rPr>
          <w:sz w:val="28"/>
          <w:szCs w:val="28"/>
        </w:rPr>
        <w:t>тваринам</w:t>
      </w:r>
      <w:proofErr w:type="spellEnd"/>
      <w:r w:rsidRPr="00F57B06">
        <w:rPr>
          <w:sz w:val="28"/>
          <w:szCs w:val="28"/>
        </w:rPr>
        <w:t xml:space="preserve"> </w:t>
      </w:r>
      <w:proofErr w:type="spellStart"/>
      <w:r w:rsidRPr="00F57B06">
        <w:rPr>
          <w:sz w:val="28"/>
          <w:szCs w:val="28"/>
        </w:rPr>
        <w:t>можливо</w:t>
      </w:r>
      <w:proofErr w:type="spellEnd"/>
      <w:r w:rsidRPr="00F57B06">
        <w:rPr>
          <w:sz w:val="28"/>
          <w:szCs w:val="28"/>
        </w:rPr>
        <w:t xml:space="preserve"> </w:t>
      </w:r>
      <w:proofErr w:type="spellStart"/>
      <w:r w:rsidRPr="00F57B06">
        <w:rPr>
          <w:sz w:val="28"/>
          <w:szCs w:val="28"/>
        </w:rPr>
        <w:t>застосовувати</w:t>
      </w:r>
      <w:proofErr w:type="spellEnd"/>
      <w:r w:rsidRPr="00F57B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 w:rsidRPr="00F57B06">
        <w:rPr>
          <w:sz w:val="28"/>
          <w:szCs w:val="28"/>
        </w:rPr>
        <w:t xml:space="preserve"> </w:t>
      </w:r>
      <w:proofErr w:type="spellStart"/>
      <w:r w:rsidRPr="00F57B06">
        <w:rPr>
          <w:sz w:val="28"/>
          <w:szCs w:val="28"/>
        </w:rPr>
        <w:t>випадках</w:t>
      </w:r>
      <w:proofErr w:type="spellEnd"/>
      <w:r>
        <w:rPr>
          <w:sz w:val="28"/>
          <w:szCs w:val="28"/>
          <w:lang w:val="uk-UA"/>
        </w:rPr>
        <w:t>, передбачених чинним законодавством</w:t>
      </w:r>
      <w:r w:rsidRPr="00F57B06">
        <w:rPr>
          <w:sz w:val="28"/>
          <w:szCs w:val="28"/>
          <w:lang w:val="uk-UA"/>
        </w:rPr>
        <w:t>.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42D" w:rsidRPr="00F57B06" w:rsidRDefault="0081042D" w:rsidP="0081042D">
      <w:pPr>
        <w:pStyle w:val="a6"/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/>
          <w:bCs/>
          <w:sz w:val="28"/>
          <w:szCs w:val="28"/>
        </w:rPr>
        <w:t xml:space="preserve">Участь </w:t>
      </w:r>
      <w:proofErr w:type="spellStart"/>
      <w:r w:rsidRPr="00F57B06">
        <w:rPr>
          <w:rFonts w:ascii="Times New Roman" w:hAnsi="Times New Roman" w:cs="Times New Roman"/>
          <w:b/>
          <w:bCs/>
          <w:sz w:val="28"/>
          <w:szCs w:val="28"/>
        </w:rPr>
        <w:t>громадських</w:t>
      </w:r>
      <w:proofErr w:type="spellEnd"/>
      <w:r w:rsidRPr="00F57B0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b/>
          <w:bCs/>
          <w:sz w:val="28"/>
          <w:szCs w:val="28"/>
        </w:rPr>
        <w:t>благодійних</w:t>
      </w:r>
      <w:proofErr w:type="spellEnd"/>
      <w:r w:rsidRPr="00F57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  <w:proofErr w:type="spellEnd"/>
      <w:r w:rsidRPr="00F57B0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57B06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F57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</w:p>
    <w:p w:rsidR="0081042D" w:rsidRPr="00F57B06" w:rsidRDefault="0081042D" w:rsidP="0081042D">
      <w:pPr>
        <w:pStyle w:val="a6"/>
        <w:ind w:left="50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042D" w:rsidRPr="00F57B06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Громадські та благодійні організації, метою діяльності яких є захист тварин від жорстокого поводження:</w:t>
      </w:r>
    </w:p>
    <w:p w:rsidR="0081042D" w:rsidRPr="00F57B06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притулки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безпритульних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роботу; </w:t>
      </w:r>
    </w:p>
    <w:p w:rsidR="0081042D" w:rsidRPr="00F57B06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господарі</w:t>
      </w:r>
      <w:proofErr w:type="gramStart"/>
      <w:r w:rsidRPr="00F57B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B06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042D" w:rsidRPr="00F57B06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гуманне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042D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F57B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B06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статутних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7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042D" w:rsidRPr="007B5DF9" w:rsidRDefault="0081042D" w:rsidP="008104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мають право перевіряти поводження з тваринами будь-якими юридичними та фізичними особами та безперешкодно за посвідченнями,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підверджують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приналежність до такої організації, відвідувати місця утримання тварин</w:t>
      </w:r>
      <w:r w:rsidRPr="007B5D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042D" w:rsidRPr="007B5DF9" w:rsidRDefault="0081042D" w:rsidP="0081042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Виконавчі органи Броварської міської ради Київської області всебічно сприяють громадським організаціям, метою яких є охорона та захист тварин.</w:t>
      </w:r>
    </w:p>
    <w:p w:rsidR="0081042D" w:rsidRPr="007B5DF9" w:rsidRDefault="0081042D" w:rsidP="008104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57B06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7B5D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57B0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042D" w:rsidRPr="0058792E" w:rsidRDefault="0081042D" w:rsidP="0081042D">
      <w:pPr>
        <w:pStyle w:val="a6"/>
        <w:numPr>
          <w:ilvl w:val="0"/>
          <w:numId w:val="4"/>
        </w:numPr>
        <w:tabs>
          <w:tab w:val="clear" w:pos="720"/>
          <w:tab w:val="num" w:pos="502"/>
        </w:tabs>
        <w:ind w:left="50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87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Фінансування заходів Програми.</w:t>
      </w:r>
    </w:p>
    <w:p w:rsidR="0081042D" w:rsidRPr="0058792E" w:rsidRDefault="0081042D" w:rsidP="0081042D">
      <w:pPr>
        <w:pStyle w:val="a6"/>
        <w:ind w:left="50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бюджеті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відповідний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57B06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спеціалізованого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фонду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ради, 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благодійних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внесків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пожертв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фондів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042D" w:rsidRPr="0058792E" w:rsidRDefault="0081042D" w:rsidP="0081042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Заходи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F57B0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ресурсне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7B06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передбачено </w:t>
      </w:r>
      <w:r w:rsidRPr="005879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Додатку до Програми.</w:t>
      </w:r>
    </w:p>
    <w:p w:rsidR="0081042D" w:rsidRPr="00F57B06" w:rsidRDefault="0081042D" w:rsidP="0081042D">
      <w:pPr>
        <w:jc w:val="both"/>
        <w:rPr>
          <w:rFonts w:ascii="Times New Roman" w:hAnsi="Times New Roman" w:cs="Times New Roman"/>
          <w:sz w:val="28"/>
          <w:szCs w:val="28"/>
        </w:rPr>
      </w:pPr>
      <w:r w:rsidRPr="00F57B0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042D" w:rsidRPr="006B38FC" w:rsidRDefault="0081042D" w:rsidP="0081042D">
      <w:pPr>
        <w:pStyle w:val="a6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Очікувані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результати</w:t>
      </w:r>
      <w:proofErr w:type="spellEnd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виконання </w:t>
      </w:r>
      <w:proofErr w:type="spellStart"/>
      <w:r w:rsidRPr="00F57B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Програми</w:t>
      </w:r>
      <w:proofErr w:type="spellEnd"/>
    </w:p>
    <w:p w:rsidR="0081042D" w:rsidRPr="00F57B06" w:rsidRDefault="0081042D" w:rsidP="0081042D">
      <w:pPr>
        <w:pStyle w:val="a6"/>
        <w:ind w:left="50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у сфері </w:t>
      </w:r>
      <w:proofErr w:type="spellStart"/>
      <w:r w:rsidRPr="00F57B06">
        <w:rPr>
          <w:rFonts w:ascii="Times New Roman" w:hAnsi="Times New Roman" w:cs="Times New Roman"/>
          <w:sz w:val="28"/>
          <w:szCs w:val="28"/>
          <w:lang w:val="uk-UA"/>
        </w:rPr>
        <w:t>регулюлювання</w:t>
      </w:r>
      <w:proofErr w:type="spellEnd"/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безпритульних тварин дозволить: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B06">
        <w:rPr>
          <w:rFonts w:ascii="Times New Roman" w:hAnsi="Times New Roman" w:cs="Times New Roman"/>
          <w:sz w:val="28"/>
          <w:szCs w:val="28"/>
          <w:lang w:val="uk-UA"/>
        </w:rPr>
        <w:t>-зменшити</w:t>
      </w:r>
      <w:proofErr w:type="spellEnd"/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 потенційну кількість безпритульних тварин;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зменшити рівень забруднення територій міста Бровари відходами життєдіяльності тварин;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поліпшити епізоотичний, санітарно-епідемічний, екологічний та санітарний стан міста;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зберегти здоров</w:t>
      </w:r>
      <w:r w:rsidRPr="00997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F57B06">
        <w:rPr>
          <w:rFonts w:ascii="Times New Roman" w:hAnsi="Times New Roman" w:cs="Times New Roman"/>
          <w:sz w:val="28"/>
          <w:szCs w:val="28"/>
          <w:lang w:val="uk-UA"/>
        </w:rPr>
        <w:t>я населення, зменшити рівень захворювання населення хворобами, спільними для людей і тварин;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сформувати сучасне ставлення громадян до існуючих проблем у сфері утримання та поводження з домашніми та іншими тваринами;</w:t>
      </w:r>
    </w:p>
    <w:p w:rsidR="0081042D" w:rsidRPr="00F57B06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>- сформувати у підростаючого покоління етичне ставлення до тварин;</w:t>
      </w: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B06">
        <w:rPr>
          <w:rFonts w:ascii="Times New Roman" w:hAnsi="Times New Roman" w:cs="Times New Roman"/>
          <w:sz w:val="28"/>
          <w:szCs w:val="28"/>
          <w:lang w:val="uk-UA"/>
        </w:rPr>
        <w:t xml:space="preserve">- створити відповідні служби та підприємства з вилову, стерилізації, вакцинації та утримання безпритульних тварин. </w:t>
      </w: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Pr="00375891" w:rsidRDefault="0081042D" w:rsidP="0081042D">
      <w:pPr>
        <w:tabs>
          <w:tab w:val="left" w:pos="810"/>
          <w:tab w:val="center" w:pos="479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042D" w:rsidRDefault="0081042D" w:rsidP="0081042D">
      <w:pPr>
        <w:ind w:firstLine="708"/>
        <w:jc w:val="both"/>
        <w:rPr>
          <w:rFonts w:ascii="Times New Roman" w:hAnsi="Times New Roman" w:cs="Times New Roman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  <w:sectPr w:rsidR="0081042D" w:rsidSect="00942A10">
          <w:pgSz w:w="11906" w:h="16838"/>
          <w:pgMar w:top="851" w:right="850" w:bottom="1276" w:left="1701" w:header="708" w:footer="708" w:gutter="0"/>
          <w:cols w:space="708"/>
          <w:docGrid w:linePitch="360"/>
        </w:sectPr>
      </w:pPr>
    </w:p>
    <w:p w:rsidR="0081042D" w:rsidRPr="00BE4782" w:rsidRDefault="0081042D" w:rsidP="0081042D">
      <w:pPr>
        <w:pStyle w:val="a6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47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Заходи з виконання</w:t>
      </w:r>
      <w:r w:rsidRPr="00BE4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7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регулювання</w:t>
      </w:r>
      <w:proofErr w:type="spellEnd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чисельності</w:t>
      </w:r>
      <w:proofErr w:type="spellEnd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безпритульних</w:t>
      </w:r>
      <w:proofErr w:type="spellEnd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E4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</w:p>
    <w:p w:rsidR="0081042D" w:rsidRPr="006F0B96" w:rsidRDefault="0081042D" w:rsidP="0081042D">
      <w:pPr>
        <w:jc w:val="center"/>
        <w:rPr>
          <w:b/>
          <w:bCs/>
          <w:sz w:val="28"/>
          <w:szCs w:val="28"/>
          <w:lang w:val="uk-UA"/>
        </w:rPr>
      </w:pP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proofErr w:type="spellStart"/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proofErr w:type="spellEnd"/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F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tbl>
      <w:tblPr>
        <w:tblStyle w:val="a7"/>
        <w:tblW w:w="15276" w:type="dxa"/>
        <w:tblLayout w:type="fixed"/>
        <w:tblLook w:val="04A0"/>
      </w:tblPr>
      <w:tblGrid>
        <w:gridCol w:w="560"/>
        <w:gridCol w:w="4084"/>
        <w:gridCol w:w="1985"/>
        <w:gridCol w:w="1276"/>
        <w:gridCol w:w="1134"/>
        <w:gridCol w:w="1134"/>
        <w:gridCol w:w="1701"/>
        <w:gridCol w:w="1701"/>
        <w:gridCol w:w="1701"/>
      </w:tblGrid>
      <w:tr w:rsidR="0081042D" w:rsidRPr="00E76405" w:rsidTr="00646711">
        <w:tc>
          <w:tcPr>
            <w:tcW w:w="560" w:type="dxa"/>
            <w:vMerge w:val="restart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640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76405">
              <w:rPr>
                <w:b/>
                <w:sz w:val="24"/>
                <w:szCs w:val="24"/>
              </w:rPr>
              <w:t>/</w:t>
            </w:r>
            <w:proofErr w:type="spellStart"/>
            <w:r w:rsidRPr="00E7640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vMerge w:val="restart"/>
          </w:tcPr>
          <w:p w:rsidR="0081042D" w:rsidRPr="007A427C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85" w:type="dxa"/>
            <w:vMerge w:val="restart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76405">
              <w:rPr>
                <w:b/>
                <w:sz w:val="24"/>
                <w:szCs w:val="24"/>
              </w:rPr>
              <w:t>Відповідальні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E76405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76405">
              <w:rPr>
                <w:b/>
                <w:sz w:val="24"/>
                <w:szCs w:val="24"/>
              </w:rPr>
              <w:t>Термін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b/>
                <w:sz w:val="24"/>
                <w:szCs w:val="24"/>
              </w:rPr>
              <w:t>впровадження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за роками</w:t>
            </w:r>
          </w:p>
        </w:tc>
        <w:tc>
          <w:tcPr>
            <w:tcW w:w="6237" w:type="dxa"/>
            <w:gridSpan w:val="4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76405">
              <w:rPr>
                <w:b/>
                <w:sz w:val="24"/>
                <w:szCs w:val="24"/>
              </w:rPr>
              <w:t>Обсяги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b/>
                <w:sz w:val="24"/>
                <w:szCs w:val="24"/>
              </w:rPr>
              <w:t>фінансування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(тис</w:t>
            </w:r>
            <w:proofErr w:type="gramStart"/>
            <w:r w:rsidRPr="00E76405">
              <w:rPr>
                <w:b/>
                <w:sz w:val="24"/>
                <w:szCs w:val="24"/>
              </w:rPr>
              <w:t>.</w:t>
            </w:r>
            <w:proofErr w:type="gramEnd"/>
            <w:r w:rsidRPr="00E76405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6405">
              <w:rPr>
                <w:b/>
                <w:sz w:val="24"/>
                <w:szCs w:val="24"/>
              </w:rPr>
              <w:t>г</w:t>
            </w:r>
            <w:proofErr w:type="gramEnd"/>
            <w:r w:rsidRPr="00E76405">
              <w:rPr>
                <w:b/>
                <w:sz w:val="24"/>
                <w:szCs w:val="24"/>
              </w:rPr>
              <w:t>рн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.), у тому </w:t>
            </w:r>
            <w:proofErr w:type="spellStart"/>
            <w:r w:rsidRPr="00E76405">
              <w:rPr>
                <w:b/>
                <w:sz w:val="24"/>
                <w:szCs w:val="24"/>
              </w:rPr>
              <w:t>числі</w:t>
            </w:r>
            <w:proofErr w:type="spellEnd"/>
            <w:r w:rsidRPr="00E76405">
              <w:rPr>
                <w:b/>
                <w:sz w:val="24"/>
                <w:szCs w:val="24"/>
              </w:rPr>
              <w:t xml:space="preserve"> по роках</w:t>
            </w:r>
          </w:p>
        </w:tc>
      </w:tr>
      <w:tr w:rsidR="0081042D" w:rsidRPr="007A3AFB" w:rsidTr="00646711">
        <w:tc>
          <w:tcPr>
            <w:tcW w:w="560" w:type="dxa"/>
            <w:vMerge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AFB">
              <w:rPr>
                <w:b/>
                <w:sz w:val="22"/>
                <w:szCs w:val="22"/>
              </w:rPr>
              <w:t>закінчення</w:t>
            </w:r>
            <w:proofErr w:type="spellEnd"/>
          </w:p>
        </w:tc>
        <w:tc>
          <w:tcPr>
            <w:tcW w:w="1134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AFB"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701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AFB">
              <w:rPr>
                <w:b/>
                <w:sz w:val="22"/>
                <w:szCs w:val="22"/>
              </w:rPr>
              <w:t>власні</w:t>
            </w:r>
            <w:proofErr w:type="spellEnd"/>
            <w:r w:rsidRPr="007A3A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3AFB">
              <w:rPr>
                <w:b/>
                <w:sz w:val="22"/>
                <w:szCs w:val="22"/>
              </w:rPr>
              <w:t>кошти</w:t>
            </w:r>
            <w:proofErr w:type="spellEnd"/>
            <w:r w:rsidRPr="007A3AF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3AFB">
              <w:rPr>
                <w:b/>
                <w:sz w:val="22"/>
                <w:szCs w:val="22"/>
              </w:rPr>
              <w:t>п</w:t>
            </w:r>
            <w:proofErr w:type="gramEnd"/>
            <w:r w:rsidRPr="007A3AFB">
              <w:rPr>
                <w:b/>
                <w:sz w:val="22"/>
                <w:szCs w:val="22"/>
              </w:rPr>
              <w:t>ідприємств</w:t>
            </w:r>
            <w:proofErr w:type="spellEnd"/>
          </w:p>
        </w:tc>
        <w:tc>
          <w:tcPr>
            <w:tcW w:w="1701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A3AFB">
              <w:rPr>
                <w:b/>
                <w:sz w:val="22"/>
                <w:szCs w:val="22"/>
              </w:rPr>
              <w:t>м</w:t>
            </w:r>
            <w:proofErr w:type="gramEnd"/>
            <w:r w:rsidRPr="007A3AFB">
              <w:rPr>
                <w:b/>
                <w:sz w:val="22"/>
                <w:szCs w:val="22"/>
              </w:rPr>
              <w:t>іс</w:t>
            </w:r>
            <w:r>
              <w:rPr>
                <w:b/>
                <w:sz w:val="22"/>
                <w:szCs w:val="22"/>
              </w:rPr>
              <w:t>ький</w:t>
            </w:r>
            <w:proofErr w:type="spellEnd"/>
            <w:r w:rsidRPr="007A3A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1701" w:type="dxa"/>
          </w:tcPr>
          <w:p w:rsidR="0081042D" w:rsidRPr="007A3AFB" w:rsidRDefault="0081042D" w:rsidP="0064671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AFB">
              <w:rPr>
                <w:b/>
                <w:sz w:val="22"/>
                <w:szCs w:val="22"/>
              </w:rPr>
              <w:t>інші</w:t>
            </w:r>
            <w:proofErr w:type="spellEnd"/>
            <w:r w:rsidRPr="007A3A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3AFB">
              <w:rPr>
                <w:b/>
                <w:sz w:val="22"/>
                <w:szCs w:val="22"/>
              </w:rPr>
              <w:t>джерела</w:t>
            </w:r>
            <w:proofErr w:type="spellEnd"/>
            <w:r w:rsidRPr="007A3AF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1042D" w:rsidRPr="00E76405" w:rsidTr="00646711"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81042D" w:rsidRPr="00E76405" w:rsidTr="00646711"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Будівництво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притулку</w:t>
            </w:r>
            <w:proofErr w:type="spellEnd"/>
            <w:r w:rsidRPr="00536871">
              <w:rPr>
                <w:sz w:val="26"/>
                <w:szCs w:val="26"/>
              </w:rPr>
              <w:t xml:space="preserve"> для </w:t>
            </w:r>
            <w:proofErr w:type="spellStart"/>
            <w:r w:rsidRPr="00536871">
              <w:rPr>
                <w:sz w:val="26"/>
                <w:szCs w:val="26"/>
              </w:rPr>
              <w:t>бездоглядних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81042D" w:rsidRPr="00507B71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81042D" w:rsidRPr="007A427C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End"/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 w:rsidRPr="00E76405">
              <w:rPr>
                <w:sz w:val="24"/>
                <w:szCs w:val="24"/>
              </w:rPr>
              <w:t>20</w:t>
            </w:r>
            <w:proofErr w:type="spellStart"/>
            <w:r>
              <w:rPr>
                <w:sz w:val="24"/>
                <w:szCs w:val="24"/>
                <w:lang w:val="uk-UA"/>
              </w:rPr>
              <w:t>20</w:t>
            </w:r>
            <w:proofErr w:type="spellEnd"/>
          </w:p>
          <w:p w:rsidR="0081042D" w:rsidRPr="00210B5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81042D" w:rsidRPr="00507B71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81042D" w:rsidRPr="007C58F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7C58FA">
              <w:rPr>
                <w:b/>
                <w:sz w:val="24"/>
                <w:szCs w:val="24"/>
                <w:lang w:val="uk-UA"/>
              </w:rPr>
              <w:t>9 500,0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  <w:p w:rsidR="0081042D" w:rsidRPr="003F19F8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9 000,0</w:t>
            </w:r>
          </w:p>
        </w:tc>
        <w:tc>
          <w:tcPr>
            <w:tcW w:w="1701" w:type="dxa"/>
          </w:tcPr>
          <w:p w:rsidR="0081042D" w:rsidRPr="007C58F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7C58F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7C58FA">
              <w:rPr>
                <w:b/>
                <w:sz w:val="24"/>
                <w:szCs w:val="24"/>
                <w:lang w:val="uk-UA"/>
              </w:rPr>
              <w:t>9 500,0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9 000,0</w:t>
            </w:r>
          </w:p>
        </w:tc>
        <w:tc>
          <w:tcPr>
            <w:tcW w:w="1701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81042D" w:rsidRPr="00E76405" w:rsidTr="00646711"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4084" w:type="dxa"/>
          </w:tcPr>
          <w:p w:rsidR="0081042D" w:rsidRPr="00507B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507B71">
              <w:rPr>
                <w:color w:val="000000"/>
                <w:sz w:val="24"/>
                <w:szCs w:val="24"/>
                <w:lang w:val="uk-UA"/>
              </w:rPr>
              <w:t>Створення соціального центру стерилізації та вакцинації азу безпритульних тварин</w:t>
            </w:r>
          </w:p>
        </w:tc>
        <w:tc>
          <w:tcPr>
            <w:tcW w:w="1985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AF557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AF557D">
              <w:rPr>
                <w:b/>
                <w:sz w:val="24"/>
                <w:szCs w:val="24"/>
                <w:lang w:val="uk-UA"/>
              </w:rPr>
              <w:t>393,703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Pr="00AF557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393,703</w:t>
            </w:r>
          </w:p>
        </w:tc>
        <w:tc>
          <w:tcPr>
            <w:tcW w:w="1701" w:type="dxa"/>
          </w:tcPr>
          <w:p w:rsidR="0081042D" w:rsidRPr="00F55C9E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AF557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AF557D">
              <w:rPr>
                <w:b/>
                <w:sz w:val="24"/>
                <w:szCs w:val="24"/>
                <w:lang w:val="uk-UA"/>
              </w:rPr>
              <w:t>393,703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393,703</w:t>
            </w:r>
          </w:p>
        </w:tc>
        <w:tc>
          <w:tcPr>
            <w:tcW w:w="1701" w:type="dxa"/>
          </w:tcPr>
          <w:p w:rsidR="0081042D" w:rsidRPr="00F55C9E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1042D" w:rsidRPr="00E76405" w:rsidTr="00646711">
        <w:trPr>
          <w:trHeight w:val="2030"/>
        </w:trPr>
        <w:tc>
          <w:tcPr>
            <w:tcW w:w="560" w:type="dxa"/>
          </w:tcPr>
          <w:p w:rsidR="0081042D" w:rsidRPr="007A427C" w:rsidRDefault="0081042D" w:rsidP="00646711">
            <w:pPr>
              <w:spacing w:line="20" w:lineRule="atLeas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084" w:type="dxa"/>
          </w:tcPr>
          <w:p w:rsidR="0081042D" w:rsidRPr="00043C7A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043C7A">
              <w:rPr>
                <w:sz w:val="26"/>
                <w:szCs w:val="26"/>
              </w:rPr>
              <w:t>Забезпечення</w:t>
            </w:r>
            <w:proofErr w:type="spellEnd"/>
            <w:r w:rsidRPr="00043C7A">
              <w:rPr>
                <w:sz w:val="26"/>
                <w:szCs w:val="26"/>
              </w:rPr>
              <w:t xml:space="preserve"> </w:t>
            </w:r>
            <w:proofErr w:type="spellStart"/>
            <w:r w:rsidRPr="00043C7A">
              <w:rPr>
                <w:sz w:val="26"/>
                <w:szCs w:val="26"/>
              </w:rPr>
              <w:t>утримання</w:t>
            </w:r>
            <w:proofErr w:type="spellEnd"/>
            <w:r w:rsidRPr="00043C7A">
              <w:rPr>
                <w:sz w:val="26"/>
                <w:szCs w:val="26"/>
              </w:rPr>
              <w:t xml:space="preserve"> </w:t>
            </w:r>
            <w:proofErr w:type="spellStart"/>
            <w:r w:rsidRPr="00043C7A">
              <w:rPr>
                <w:sz w:val="26"/>
                <w:szCs w:val="26"/>
              </w:rPr>
              <w:t>безпритульних</w:t>
            </w:r>
            <w:proofErr w:type="spellEnd"/>
            <w:r w:rsidRPr="00043C7A">
              <w:rPr>
                <w:sz w:val="26"/>
                <w:szCs w:val="26"/>
              </w:rPr>
              <w:t xml:space="preserve"> </w:t>
            </w:r>
            <w:proofErr w:type="spellStart"/>
            <w:r w:rsidRPr="00043C7A">
              <w:rPr>
                <w:sz w:val="26"/>
                <w:szCs w:val="26"/>
              </w:rPr>
              <w:t>тварин</w:t>
            </w:r>
            <w:proofErr w:type="spellEnd"/>
            <w:r w:rsidRPr="00043C7A">
              <w:rPr>
                <w:sz w:val="26"/>
                <w:szCs w:val="26"/>
              </w:rPr>
              <w:t xml:space="preserve">, </w:t>
            </w:r>
            <w:proofErr w:type="spellStart"/>
            <w:r w:rsidRPr="00043C7A">
              <w:rPr>
                <w:sz w:val="26"/>
                <w:szCs w:val="26"/>
              </w:rPr>
              <w:t>що</w:t>
            </w:r>
            <w:proofErr w:type="spellEnd"/>
            <w:r w:rsidRPr="00043C7A">
              <w:rPr>
                <w:sz w:val="26"/>
                <w:szCs w:val="26"/>
              </w:rPr>
              <w:t xml:space="preserve"> </w:t>
            </w:r>
            <w:r w:rsidRPr="00043C7A">
              <w:rPr>
                <w:sz w:val="26"/>
                <w:szCs w:val="26"/>
                <w:lang w:val="uk-UA"/>
              </w:rPr>
              <w:t xml:space="preserve">тимчасово </w:t>
            </w:r>
            <w:proofErr w:type="spellStart"/>
            <w:r w:rsidRPr="00043C7A">
              <w:rPr>
                <w:sz w:val="26"/>
                <w:szCs w:val="26"/>
              </w:rPr>
              <w:t>знаходяться</w:t>
            </w:r>
            <w:proofErr w:type="spellEnd"/>
            <w:r w:rsidRPr="00043C7A">
              <w:rPr>
                <w:sz w:val="26"/>
                <w:szCs w:val="26"/>
                <w:lang w:val="uk-UA"/>
              </w:rPr>
              <w:t xml:space="preserve"> в</w:t>
            </w:r>
            <w:r w:rsidRPr="00043C7A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/>
              </w:rPr>
              <w:t>соц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іальному </w:t>
            </w:r>
            <w:r w:rsidRPr="00043C7A">
              <w:rPr>
                <w:color w:val="000000"/>
                <w:sz w:val="26"/>
                <w:szCs w:val="26"/>
                <w:lang w:val="uk-UA"/>
              </w:rPr>
              <w:t>центрі стерилізації та вакцинації</w:t>
            </w:r>
            <w:r w:rsidRPr="00043C7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</w:tcPr>
          <w:p w:rsidR="0081042D" w:rsidRPr="00DB2350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 w:rsidRPr="00D37B6A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Pr="00D37B6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</w:tcPr>
          <w:p w:rsidR="0081042D" w:rsidRPr="00D37B6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 w:rsidRPr="00D37B6A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42D" w:rsidTr="00646711">
        <w:trPr>
          <w:trHeight w:val="285"/>
        </w:trPr>
        <w:tc>
          <w:tcPr>
            <w:tcW w:w="560" w:type="dxa"/>
          </w:tcPr>
          <w:p w:rsidR="0081042D" w:rsidRPr="007A427C" w:rsidRDefault="0081042D" w:rsidP="00646711">
            <w:pPr>
              <w:spacing w:line="20" w:lineRule="atLeas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Закупівля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необхідного</w:t>
            </w:r>
            <w:proofErr w:type="spellEnd"/>
            <w:r w:rsidRPr="00536871">
              <w:rPr>
                <w:sz w:val="26"/>
                <w:szCs w:val="26"/>
              </w:rPr>
              <w:t xml:space="preserve"> транспорту, </w:t>
            </w:r>
            <w:proofErr w:type="spellStart"/>
            <w:proofErr w:type="gramStart"/>
            <w:r w:rsidRPr="00536871">
              <w:rPr>
                <w:sz w:val="26"/>
                <w:szCs w:val="26"/>
              </w:rPr>
              <w:t>матер</w:t>
            </w:r>
            <w:proofErr w:type="gramEnd"/>
            <w:r w:rsidRPr="00536871">
              <w:rPr>
                <w:sz w:val="26"/>
                <w:szCs w:val="26"/>
              </w:rPr>
              <w:t>іалів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і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устаткування</w:t>
            </w:r>
            <w:proofErr w:type="spellEnd"/>
            <w:r w:rsidRPr="00536871">
              <w:rPr>
                <w:sz w:val="26"/>
                <w:szCs w:val="26"/>
              </w:rPr>
              <w:t xml:space="preserve"> для </w:t>
            </w:r>
            <w:proofErr w:type="spellStart"/>
            <w:r w:rsidRPr="00536871">
              <w:rPr>
                <w:sz w:val="26"/>
                <w:szCs w:val="26"/>
              </w:rPr>
              <w:t>забезпечення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вилову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транспортування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D37B6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550,0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550,0</w:t>
            </w:r>
          </w:p>
          <w:p w:rsidR="0081042D" w:rsidRPr="00D37B6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550,0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550,0</w:t>
            </w:r>
          </w:p>
          <w:p w:rsidR="0081042D" w:rsidRPr="00616632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42D" w:rsidRPr="00771BAC" w:rsidTr="00646711"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Забезпечення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вилову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транспортування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  <w:r w:rsidRPr="00536871">
              <w:rPr>
                <w:sz w:val="26"/>
                <w:szCs w:val="26"/>
              </w:rPr>
              <w:t xml:space="preserve">, в тому </w:t>
            </w:r>
            <w:proofErr w:type="spellStart"/>
            <w:r w:rsidRPr="00536871">
              <w:rPr>
                <w:sz w:val="26"/>
                <w:szCs w:val="26"/>
              </w:rPr>
              <w:t>числі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придбання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пального</w:t>
            </w:r>
            <w:proofErr w:type="spellEnd"/>
            <w:r w:rsidRPr="00536871">
              <w:rPr>
                <w:sz w:val="26"/>
                <w:szCs w:val="26"/>
              </w:rPr>
              <w:t xml:space="preserve">, </w:t>
            </w:r>
            <w:proofErr w:type="spellStart"/>
            <w:r w:rsidRPr="00536871">
              <w:rPr>
                <w:sz w:val="26"/>
                <w:szCs w:val="26"/>
              </w:rPr>
              <w:t>транквілізаторів</w:t>
            </w:r>
            <w:proofErr w:type="spellEnd"/>
            <w:r w:rsidRPr="00536871">
              <w:rPr>
                <w:sz w:val="26"/>
                <w:szCs w:val="26"/>
              </w:rPr>
              <w:t xml:space="preserve">, </w:t>
            </w:r>
            <w:proofErr w:type="spellStart"/>
            <w:r w:rsidRPr="00536871">
              <w:rPr>
                <w:sz w:val="26"/>
                <w:szCs w:val="26"/>
              </w:rPr>
              <w:t>дезінфікуючих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інших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лікарських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препараті</w:t>
            </w:r>
            <w:proofErr w:type="gramStart"/>
            <w:r w:rsidRPr="00536871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536871">
              <w:rPr>
                <w:sz w:val="26"/>
                <w:szCs w:val="26"/>
              </w:rPr>
              <w:t xml:space="preserve"> для </w:t>
            </w:r>
            <w:proofErr w:type="spellStart"/>
            <w:r w:rsidRPr="00536871">
              <w:rPr>
                <w:sz w:val="26"/>
                <w:szCs w:val="26"/>
              </w:rPr>
              <w:t>забезпечення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вилову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</w:p>
        </w:tc>
        <w:tc>
          <w:tcPr>
            <w:tcW w:w="1985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</w:tcPr>
          <w:p w:rsidR="0081042D" w:rsidRPr="00DB2350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043C7A" w:rsidRDefault="0081042D" w:rsidP="006467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1 000,0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Pr="00043C7A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01" w:type="dxa"/>
          </w:tcPr>
          <w:p w:rsidR="0081042D" w:rsidRPr="00043C7A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043C7A" w:rsidRDefault="0081042D" w:rsidP="0064671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1 000,0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  <w:p w:rsidR="0081042D" w:rsidRPr="00771BAC" w:rsidRDefault="0081042D" w:rsidP="006467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01" w:type="dxa"/>
          </w:tcPr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81042D" w:rsidRPr="00E76405" w:rsidTr="00646711"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Ведення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системи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електронного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36871">
              <w:rPr>
                <w:sz w:val="26"/>
                <w:szCs w:val="26"/>
              </w:rPr>
              <w:t>обл</w:t>
            </w:r>
            <w:proofErr w:type="gramEnd"/>
            <w:r w:rsidRPr="00536871">
              <w:rPr>
                <w:sz w:val="26"/>
                <w:szCs w:val="26"/>
              </w:rPr>
              <w:t>іку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опікунів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безпритульних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lastRenderedPageBreak/>
              <w:t>тварин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  <w:r w:rsidRPr="00536871">
              <w:rPr>
                <w:sz w:val="26"/>
                <w:szCs w:val="26"/>
              </w:rPr>
              <w:t xml:space="preserve">, </w:t>
            </w:r>
            <w:proofErr w:type="spellStart"/>
            <w:r w:rsidRPr="00536871">
              <w:rPr>
                <w:sz w:val="26"/>
                <w:szCs w:val="26"/>
              </w:rPr>
              <w:t>що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знаходяться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під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опікою</w:t>
            </w:r>
            <w:proofErr w:type="spellEnd"/>
          </w:p>
        </w:tc>
        <w:tc>
          <w:tcPr>
            <w:tcW w:w="1985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Pr="00374E71">
              <w:rPr>
                <w:sz w:val="24"/>
                <w:szCs w:val="24"/>
                <w:lang w:val="uk-UA"/>
              </w:rPr>
              <w:t xml:space="preserve">Броварське </w:t>
            </w:r>
            <w:r w:rsidRPr="00374E71">
              <w:rPr>
                <w:sz w:val="24"/>
                <w:szCs w:val="24"/>
                <w:lang w:val="uk-UA"/>
              </w:rPr>
              <w:lastRenderedPageBreak/>
              <w:t xml:space="preserve">районне управління </w:t>
            </w:r>
            <w:proofErr w:type="spellStart"/>
            <w:r w:rsidRPr="00374E71">
              <w:rPr>
                <w:sz w:val="24"/>
                <w:szCs w:val="24"/>
                <w:lang w:val="uk-UA"/>
              </w:rPr>
              <w:t>Держсанепідслужби</w:t>
            </w:r>
            <w:proofErr w:type="spellEnd"/>
            <w:r w:rsidRPr="00374E71">
              <w:rPr>
                <w:sz w:val="24"/>
                <w:szCs w:val="24"/>
                <w:lang w:val="uk-UA"/>
              </w:rPr>
              <w:t xml:space="preserve"> України у Київській області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DB2350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4C21F8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701" w:type="dxa"/>
          </w:tcPr>
          <w:p w:rsidR="0081042D" w:rsidRPr="004C21F8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4C21F8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4C21F8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1042D" w:rsidRPr="00E76405" w:rsidTr="00646711">
        <w:trPr>
          <w:trHeight w:val="267"/>
        </w:trPr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Розробка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запровадження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просвітницьких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проектів</w:t>
            </w:r>
            <w:proofErr w:type="spellEnd"/>
            <w:r w:rsidRPr="00536871">
              <w:rPr>
                <w:sz w:val="26"/>
                <w:szCs w:val="26"/>
              </w:rPr>
              <w:t xml:space="preserve"> у </w:t>
            </w:r>
            <w:proofErr w:type="spellStart"/>
            <w:r w:rsidRPr="00536871">
              <w:rPr>
                <w:sz w:val="26"/>
                <w:szCs w:val="26"/>
              </w:rPr>
              <w:t>дитячих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навчальних</w:t>
            </w:r>
            <w:proofErr w:type="spellEnd"/>
            <w:r w:rsidRPr="00536871">
              <w:rPr>
                <w:sz w:val="26"/>
                <w:szCs w:val="26"/>
              </w:rPr>
              <w:t xml:space="preserve"> закладах </w:t>
            </w:r>
            <w:proofErr w:type="spellStart"/>
            <w:r w:rsidRPr="00536871">
              <w:rPr>
                <w:sz w:val="26"/>
                <w:szCs w:val="26"/>
              </w:rPr>
              <w:t>щодо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gramStart"/>
            <w:r w:rsidRPr="00536871">
              <w:rPr>
                <w:sz w:val="26"/>
                <w:szCs w:val="26"/>
              </w:rPr>
              <w:t>гуманного</w:t>
            </w:r>
            <w:proofErr w:type="gram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поводження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з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тваринами</w:t>
            </w:r>
            <w:proofErr w:type="spellEnd"/>
          </w:p>
        </w:tc>
        <w:tc>
          <w:tcPr>
            <w:tcW w:w="1985" w:type="dxa"/>
          </w:tcPr>
          <w:p w:rsidR="0081042D" w:rsidRPr="0003473F" w:rsidRDefault="0081042D" w:rsidP="00646711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03473F">
              <w:rPr>
                <w:sz w:val="26"/>
                <w:szCs w:val="26"/>
                <w:lang w:val="uk-UA"/>
              </w:rPr>
              <w:t>Громадські та благодійні організації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DB2350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1042D" w:rsidRPr="00E76405" w:rsidTr="00646711">
        <w:trPr>
          <w:trHeight w:val="1060"/>
        </w:trPr>
        <w:tc>
          <w:tcPr>
            <w:tcW w:w="560" w:type="dxa"/>
          </w:tcPr>
          <w:p w:rsidR="0081042D" w:rsidRPr="00E76405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84" w:type="dxa"/>
          </w:tcPr>
          <w:p w:rsidR="0081042D" w:rsidRPr="00536871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</w:rPr>
            </w:pPr>
            <w:proofErr w:type="spellStart"/>
            <w:r w:rsidRPr="00536871">
              <w:rPr>
                <w:sz w:val="26"/>
                <w:szCs w:val="26"/>
              </w:rPr>
              <w:t>Видання</w:t>
            </w:r>
            <w:proofErr w:type="spellEnd"/>
            <w:r w:rsidRPr="00536871">
              <w:rPr>
                <w:sz w:val="26"/>
                <w:szCs w:val="26"/>
              </w:rPr>
              <w:t xml:space="preserve"> та </w:t>
            </w:r>
            <w:proofErr w:type="spellStart"/>
            <w:r w:rsidRPr="00536871">
              <w:rPr>
                <w:sz w:val="26"/>
                <w:szCs w:val="26"/>
              </w:rPr>
              <w:t>розповсюдження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тематичних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друкованих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видань</w:t>
            </w:r>
            <w:proofErr w:type="spellEnd"/>
            <w:r w:rsidRPr="00536871">
              <w:rPr>
                <w:sz w:val="26"/>
                <w:szCs w:val="26"/>
              </w:rPr>
              <w:t xml:space="preserve">: </w:t>
            </w:r>
            <w:proofErr w:type="spellStart"/>
            <w:r w:rsidRPr="00536871">
              <w:rPr>
                <w:sz w:val="26"/>
                <w:szCs w:val="26"/>
              </w:rPr>
              <w:t>буклетів</w:t>
            </w:r>
            <w:proofErr w:type="spellEnd"/>
            <w:r w:rsidRPr="00536871">
              <w:rPr>
                <w:sz w:val="26"/>
                <w:szCs w:val="26"/>
              </w:rPr>
              <w:t xml:space="preserve">, </w:t>
            </w:r>
            <w:proofErr w:type="spellStart"/>
            <w:r w:rsidRPr="00536871">
              <w:rPr>
                <w:sz w:val="26"/>
                <w:szCs w:val="26"/>
              </w:rPr>
              <w:t>плакатів</w:t>
            </w:r>
            <w:proofErr w:type="spellEnd"/>
            <w:r w:rsidRPr="00536871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536871">
              <w:rPr>
                <w:sz w:val="26"/>
                <w:szCs w:val="26"/>
              </w:rPr>
              <w:t>пам’яток</w:t>
            </w:r>
            <w:proofErr w:type="spellEnd"/>
            <w:proofErr w:type="gramEnd"/>
            <w:r w:rsidRPr="00536871">
              <w:rPr>
                <w:sz w:val="26"/>
                <w:szCs w:val="26"/>
              </w:rPr>
              <w:t xml:space="preserve"> для </w:t>
            </w:r>
            <w:proofErr w:type="spellStart"/>
            <w:r w:rsidRPr="00536871">
              <w:rPr>
                <w:sz w:val="26"/>
                <w:szCs w:val="26"/>
              </w:rPr>
              <w:t>проведення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просвітницької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роботи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серед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мешканців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міста</w:t>
            </w:r>
            <w:proofErr w:type="spellEnd"/>
          </w:p>
        </w:tc>
        <w:tc>
          <w:tcPr>
            <w:tcW w:w="1985" w:type="dxa"/>
          </w:tcPr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УБЖКГІТ </w:t>
            </w:r>
            <w:proofErr w:type="spellStart"/>
            <w:r>
              <w:rPr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81042D" w:rsidRPr="00E76405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г</w:t>
            </w:r>
            <w:r w:rsidRPr="0003473F">
              <w:rPr>
                <w:sz w:val="26"/>
                <w:szCs w:val="26"/>
                <w:lang w:val="uk-UA"/>
              </w:rPr>
              <w:t>ромадські та благодійні організації</w:t>
            </w:r>
          </w:p>
        </w:tc>
        <w:tc>
          <w:tcPr>
            <w:tcW w:w="1276" w:type="dxa"/>
          </w:tcPr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81042D" w:rsidRPr="00771BAC" w:rsidRDefault="0081042D" w:rsidP="00646711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81042D" w:rsidRDefault="0081042D" w:rsidP="00646711">
            <w:pPr>
              <w:jc w:val="center"/>
              <w:rPr>
                <w:sz w:val="24"/>
                <w:szCs w:val="24"/>
                <w:lang w:val="uk-UA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81042D" w:rsidRPr="00E76405" w:rsidRDefault="0081042D" w:rsidP="006467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</w:tcPr>
          <w:p w:rsidR="0081042D" w:rsidRPr="00DB2350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1042D" w:rsidRPr="004E4BA3" w:rsidRDefault="0081042D" w:rsidP="0064671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110,0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</w:t>
            </w:r>
          </w:p>
          <w:p w:rsidR="0081042D" w:rsidRPr="00043C7A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043C7A">
              <w:rPr>
                <w:b/>
                <w:sz w:val="24"/>
                <w:szCs w:val="24"/>
                <w:lang w:val="uk-UA"/>
              </w:rPr>
              <w:t>110,0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</w:t>
            </w:r>
          </w:p>
          <w:p w:rsidR="0081042D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</w:t>
            </w:r>
          </w:p>
          <w:p w:rsidR="0081042D" w:rsidRPr="00E76405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1042D" w:rsidRPr="00E76405" w:rsidTr="00646711">
        <w:trPr>
          <w:trHeight w:val="1060"/>
        </w:trPr>
        <w:tc>
          <w:tcPr>
            <w:tcW w:w="560" w:type="dxa"/>
          </w:tcPr>
          <w:p w:rsidR="0081042D" w:rsidRDefault="0081042D" w:rsidP="00646711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4084" w:type="dxa"/>
          </w:tcPr>
          <w:p w:rsidR="0081042D" w:rsidRPr="002F0006" w:rsidRDefault="0081042D" w:rsidP="00646711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Утворення підприємства «Притулок для </w:t>
            </w:r>
            <w:proofErr w:type="spellStart"/>
            <w:r w:rsidRPr="00536871">
              <w:rPr>
                <w:sz w:val="26"/>
                <w:szCs w:val="26"/>
              </w:rPr>
              <w:t>бездоглядних</w:t>
            </w:r>
            <w:proofErr w:type="spellEnd"/>
            <w:r w:rsidRPr="00536871">
              <w:rPr>
                <w:sz w:val="26"/>
                <w:szCs w:val="26"/>
              </w:rPr>
              <w:t xml:space="preserve"> </w:t>
            </w:r>
            <w:proofErr w:type="spellStart"/>
            <w:r w:rsidRPr="00536871">
              <w:rPr>
                <w:sz w:val="26"/>
                <w:szCs w:val="26"/>
              </w:rPr>
              <w:t>тварин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985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Броварська міська рада Київської області</w:t>
            </w:r>
          </w:p>
        </w:tc>
        <w:tc>
          <w:tcPr>
            <w:tcW w:w="1276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34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34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043C7A" w:rsidRDefault="0081042D" w:rsidP="00646711">
            <w:pPr>
              <w:spacing w:line="2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81042D" w:rsidRPr="002F0006" w:rsidRDefault="0081042D" w:rsidP="00646711">
            <w:pPr>
              <w:spacing w:line="20" w:lineRule="atLeas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81042D" w:rsidRDefault="0081042D" w:rsidP="0081042D">
      <w:pPr>
        <w:pStyle w:val="a6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 w:rsidRPr="00491AA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91AA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 І. В. </w:t>
      </w:r>
      <w:proofErr w:type="spellStart"/>
      <w:r w:rsidRPr="00491AA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81042D" w:rsidRDefault="0081042D" w:rsidP="008104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Pr="00BE4782" w:rsidRDefault="0081042D" w:rsidP="0081042D">
      <w:pPr>
        <w:pStyle w:val="a6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81042D" w:rsidRDefault="0081042D" w:rsidP="0081042D">
      <w:pPr>
        <w:jc w:val="center"/>
      </w:pPr>
    </w:p>
    <w:p w:rsidR="0053210C" w:rsidRPr="0081042D" w:rsidRDefault="0053210C" w:rsidP="0081042D"/>
    <w:sectPr w:rsidR="0053210C" w:rsidRPr="0081042D" w:rsidSect="00B917C8">
      <w:pgSz w:w="16838" w:h="11906" w:orient="landscape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BF0"/>
    <w:multiLevelType w:val="hybridMultilevel"/>
    <w:tmpl w:val="3F7010B2"/>
    <w:lvl w:ilvl="0" w:tplc="2C2638D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485D89"/>
    <w:multiLevelType w:val="multilevel"/>
    <w:tmpl w:val="1F50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E631B"/>
    <w:multiLevelType w:val="hybridMultilevel"/>
    <w:tmpl w:val="C076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94C07"/>
    <w:multiLevelType w:val="multilevel"/>
    <w:tmpl w:val="30105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89E203B"/>
    <w:multiLevelType w:val="multilevel"/>
    <w:tmpl w:val="763C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6799C"/>
    <w:multiLevelType w:val="multilevel"/>
    <w:tmpl w:val="7396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E6090"/>
    <w:rsid w:val="001048B6"/>
    <w:rsid w:val="00233D80"/>
    <w:rsid w:val="002E6090"/>
    <w:rsid w:val="0041528A"/>
    <w:rsid w:val="00461D93"/>
    <w:rsid w:val="004A26BF"/>
    <w:rsid w:val="0053210C"/>
    <w:rsid w:val="006E2A62"/>
    <w:rsid w:val="007D3CC1"/>
    <w:rsid w:val="0081042D"/>
    <w:rsid w:val="00942A10"/>
    <w:rsid w:val="00B917C8"/>
    <w:rsid w:val="00C36D17"/>
    <w:rsid w:val="00CF75D3"/>
    <w:rsid w:val="00E050D5"/>
    <w:rsid w:val="00F74633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6090"/>
    <w:pPr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2E6090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5">
    <w:name w:val="Normal (Web)"/>
    <w:basedOn w:val="a"/>
    <w:uiPriority w:val="99"/>
    <w:rsid w:val="002E60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17C8"/>
    <w:pPr>
      <w:ind w:left="720"/>
      <w:contextualSpacing/>
    </w:pPr>
  </w:style>
  <w:style w:type="table" w:styleId="a7">
    <w:name w:val="Table Grid"/>
    <w:basedOn w:val="a1"/>
    <w:rsid w:val="00B917C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2019-10-02T07:39:00Z</dcterms:created>
  <dcterms:modified xsi:type="dcterms:W3CDTF">2019-11-28T13:59:00Z</dcterms:modified>
</cp:coreProperties>
</file>