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1F" w:rsidRDefault="00323A52" w:rsidP="00766F1F">
      <w:pPr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766F1F">
        <w:rPr>
          <w:sz w:val="28"/>
          <w:lang w:val="uk-UA"/>
        </w:rPr>
        <w:t>Додаток</w:t>
      </w:r>
    </w:p>
    <w:p w:rsidR="00766F1F" w:rsidRDefault="00766F1F" w:rsidP="00087F48">
      <w:pPr>
        <w:ind w:left="609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рішення Броварської                                                                                       міської ради </w:t>
      </w:r>
      <w:r w:rsidR="00A2706E">
        <w:rPr>
          <w:sz w:val="28"/>
          <w:lang w:val="uk-UA"/>
        </w:rPr>
        <w:t xml:space="preserve">Броварського </w:t>
      </w:r>
      <w:r w:rsidR="00483B40">
        <w:rPr>
          <w:sz w:val="28"/>
          <w:lang w:val="uk-UA"/>
        </w:rPr>
        <w:t>району</w:t>
      </w:r>
      <w:r w:rsidR="0071090C">
        <w:rPr>
          <w:sz w:val="28"/>
          <w:lang w:val="uk-UA"/>
        </w:rPr>
        <w:t xml:space="preserve"> </w:t>
      </w:r>
      <w:r>
        <w:rPr>
          <w:sz w:val="28"/>
          <w:lang w:val="uk-UA"/>
        </w:rPr>
        <w:t>Київської області</w:t>
      </w:r>
    </w:p>
    <w:p w:rsidR="0083079E" w:rsidRDefault="00766F1F" w:rsidP="00766F1F">
      <w:pPr>
        <w:jc w:val="both"/>
        <w:rPr>
          <w:sz w:val="28"/>
          <w:lang w:val="uk-UA"/>
        </w:rPr>
      </w:pPr>
      <w:r w:rsidRPr="00766F1F">
        <w:rPr>
          <w:sz w:val="28"/>
          <w:lang w:val="uk-UA"/>
        </w:rPr>
        <w:tab/>
      </w:r>
      <w:r w:rsidRPr="00766F1F">
        <w:rPr>
          <w:sz w:val="28"/>
          <w:lang w:val="uk-UA"/>
        </w:rPr>
        <w:tab/>
      </w:r>
      <w:r w:rsidR="00323A52">
        <w:rPr>
          <w:sz w:val="28"/>
          <w:lang w:val="uk-UA"/>
        </w:rPr>
        <w:t xml:space="preserve">                                                               </w:t>
      </w:r>
      <w:r>
        <w:rPr>
          <w:sz w:val="28"/>
          <w:lang w:val="uk-UA"/>
        </w:rPr>
        <w:t>від</w:t>
      </w:r>
      <w:r w:rsidR="00A51EDE">
        <w:rPr>
          <w:sz w:val="28"/>
          <w:lang w:val="uk-UA"/>
        </w:rPr>
        <w:t xml:space="preserve"> 27.04.2021 р.</w:t>
      </w:r>
    </w:p>
    <w:p w:rsidR="00766F1F" w:rsidRDefault="00766F1F" w:rsidP="00766F1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323A52">
        <w:rPr>
          <w:sz w:val="28"/>
          <w:lang w:val="uk-UA"/>
        </w:rPr>
        <w:t xml:space="preserve">                                                                                 </w:t>
      </w:r>
      <w:r>
        <w:rPr>
          <w:sz w:val="28"/>
          <w:lang w:val="uk-UA"/>
        </w:rPr>
        <w:t xml:space="preserve">№ </w:t>
      </w:r>
      <w:r w:rsidR="00A51EDE">
        <w:rPr>
          <w:sz w:val="28"/>
          <w:lang w:val="uk-UA"/>
        </w:rPr>
        <w:t>182-06-08</w:t>
      </w: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ДОПОВНЕННЯ ДО ПЛАНУ</w:t>
      </w:r>
    </w:p>
    <w:p w:rsidR="00766F1F" w:rsidRDefault="00D009C1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діяльності з підготовки проє</w:t>
      </w:r>
      <w:r w:rsidR="00766F1F">
        <w:rPr>
          <w:sz w:val="28"/>
          <w:lang w:val="uk-UA"/>
        </w:rPr>
        <w:t>к</w:t>
      </w:r>
      <w:r w:rsidR="00840E9B">
        <w:rPr>
          <w:sz w:val="28"/>
          <w:lang w:val="uk-UA"/>
        </w:rPr>
        <w:t>тів регуляторних актів  на  202</w:t>
      </w:r>
      <w:r w:rsidR="00BE612A">
        <w:rPr>
          <w:sz w:val="28"/>
          <w:lang w:val="uk-UA"/>
        </w:rPr>
        <w:t>1</w:t>
      </w:r>
      <w:r w:rsidR="00766F1F">
        <w:rPr>
          <w:sz w:val="28"/>
          <w:lang w:val="uk-UA"/>
        </w:rPr>
        <w:t xml:space="preserve"> рік</w:t>
      </w:r>
    </w:p>
    <w:p w:rsidR="00766F1F" w:rsidRDefault="00766F1F" w:rsidP="00766F1F">
      <w:pPr>
        <w:jc w:val="center"/>
        <w:rPr>
          <w:sz w:val="28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9"/>
        <w:gridCol w:w="3542"/>
        <w:gridCol w:w="1701"/>
        <w:gridCol w:w="1985"/>
      </w:tblGrid>
      <w:tr w:rsidR="00766F1F" w:rsidRPr="00113189" w:rsidTr="00BF2381">
        <w:trPr>
          <w:trHeight w:val="866"/>
        </w:trPr>
        <w:tc>
          <w:tcPr>
            <w:tcW w:w="710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№</w:t>
            </w:r>
          </w:p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2269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3542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Ціль прийняття</w:t>
            </w:r>
          </w:p>
        </w:tc>
        <w:tc>
          <w:tcPr>
            <w:tcW w:w="1701" w:type="dxa"/>
          </w:tcPr>
          <w:p w:rsidR="00766F1F" w:rsidRPr="00E7278B" w:rsidRDefault="008560C0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Строк підго</w:t>
            </w:r>
            <w:r w:rsidR="00766F1F" w:rsidRPr="00E7278B">
              <w:rPr>
                <w:sz w:val="26"/>
                <w:szCs w:val="26"/>
                <w:lang w:val="uk-UA"/>
              </w:rPr>
              <w:t>товки</w:t>
            </w:r>
          </w:p>
        </w:tc>
        <w:tc>
          <w:tcPr>
            <w:tcW w:w="1985" w:type="dxa"/>
          </w:tcPr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Відповідаль</w:t>
            </w:r>
            <w:r w:rsidR="00E7278B">
              <w:rPr>
                <w:sz w:val="26"/>
                <w:szCs w:val="26"/>
                <w:lang w:val="uk-UA"/>
              </w:rPr>
              <w:t>ний</w:t>
            </w:r>
          </w:p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 xml:space="preserve">   за  розробку</w:t>
            </w:r>
          </w:p>
        </w:tc>
      </w:tr>
      <w:tr w:rsidR="00766F1F" w:rsidRPr="00113189" w:rsidTr="0036488A">
        <w:trPr>
          <w:trHeight w:val="3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766F1F" w:rsidP="00671754">
            <w:pPr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9E" w:rsidRDefault="0083079E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>«</w:t>
            </w:r>
            <w:r w:rsidR="00623F36" w:rsidRPr="00C47A8F">
              <w:rPr>
                <w:rStyle w:val="a5"/>
                <w:i w:val="0"/>
                <w:color w:val="202020"/>
                <w:sz w:val="26"/>
                <w:szCs w:val="26"/>
              </w:rPr>
              <w:t>Про затвердження</w:t>
            </w:r>
          </w:p>
          <w:p w:rsidR="00623F36" w:rsidRPr="00C47A8F" w:rsidRDefault="0083079E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 xml:space="preserve">Порядку розміщення об’єктів зовнішньої реклами на території Броварської </w:t>
            </w:r>
            <w:r w:rsidR="00421E83" w:rsidRPr="002702ED">
              <w:rPr>
                <w:rStyle w:val="a5"/>
                <w:i w:val="0"/>
                <w:sz w:val="26"/>
                <w:szCs w:val="26"/>
              </w:rPr>
              <w:t xml:space="preserve">міської </w:t>
            </w:r>
            <w:r>
              <w:rPr>
                <w:rStyle w:val="a5"/>
                <w:i w:val="0"/>
                <w:color w:val="202020"/>
                <w:sz w:val="26"/>
                <w:szCs w:val="26"/>
              </w:rPr>
              <w:t>територіальної громади»</w:t>
            </w:r>
          </w:p>
          <w:p w:rsidR="00766F1F" w:rsidRPr="00C47A8F" w:rsidRDefault="00766F1F" w:rsidP="00B87B5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83079E" w:rsidP="00941A3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Приведення у відповідність регуляторного акта у зв’язку з адміністративно – територіальною реформою та створенням Броварської </w:t>
            </w:r>
            <w:r w:rsidR="00B13A39">
              <w:rPr>
                <w:sz w:val="26"/>
                <w:szCs w:val="26"/>
                <w:lang w:val="uk-UA"/>
              </w:rPr>
              <w:t xml:space="preserve">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8963E4">
              <w:rPr>
                <w:sz w:val="26"/>
                <w:szCs w:val="26"/>
                <w:lang w:val="uk-UA"/>
              </w:rPr>
              <w:t>,</w:t>
            </w:r>
            <w:r w:rsidR="000F12CA" w:rsidRPr="008963E4">
              <w:rPr>
                <w:sz w:val="26"/>
                <w:szCs w:val="26"/>
                <w:lang w:val="uk-UA"/>
              </w:rPr>
              <w:t xml:space="preserve">відповідно до рішення </w:t>
            </w:r>
            <w:r w:rsidR="00CF7670">
              <w:rPr>
                <w:sz w:val="26"/>
                <w:szCs w:val="26"/>
                <w:lang w:val="uk-UA"/>
              </w:rPr>
              <w:t xml:space="preserve">Броварської </w:t>
            </w:r>
            <w:r w:rsidR="000F12CA" w:rsidRPr="008963E4">
              <w:rPr>
                <w:sz w:val="26"/>
                <w:szCs w:val="26"/>
                <w:lang w:val="uk-UA"/>
              </w:rPr>
              <w:t>міської ради</w:t>
            </w:r>
            <w:r w:rsidR="00CF7670">
              <w:rPr>
                <w:sz w:val="26"/>
                <w:szCs w:val="26"/>
                <w:lang w:val="uk-UA"/>
              </w:rPr>
              <w:t xml:space="preserve"> Броварського району Київської області</w:t>
            </w:r>
            <w:r w:rsidR="000F12CA" w:rsidRPr="008963E4">
              <w:rPr>
                <w:sz w:val="26"/>
                <w:szCs w:val="26"/>
                <w:lang w:val="uk-UA"/>
              </w:rPr>
              <w:t xml:space="preserve"> від 09.02.2021 року № 14-01-08 «Про реорганізацію </w:t>
            </w:r>
            <w:proofErr w:type="spellStart"/>
            <w:r w:rsidR="000F12CA" w:rsidRPr="008963E4">
              <w:rPr>
                <w:sz w:val="26"/>
                <w:szCs w:val="26"/>
                <w:lang w:val="uk-UA"/>
              </w:rPr>
              <w:t>Княжицької</w:t>
            </w:r>
            <w:proofErr w:type="spellEnd"/>
            <w:r w:rsidR="000F12CA" w:rsidRPr="008963E4">
              <w:rPr>
                <w:sz w:val="26"/>
                <w:szCs w:val="26"/>
                <w:lang w:val="uk-UA"/>
              </w:rPr>
              <w:t xml:space="preserve"> сільської ради Броварського району Київської області та </w:t>
            </w:r>
            <w:proofErr w:type="spellStart"/>
            <w:r w:rsidR="000F12CA" w:rsidRPr="008963E4">
              <w:rPr>
                <w:sz w:val="26"/>
                <w:szCs w:val="26"/>
                <w:lang w:val="uk-UA"/>
              </w:rPr>
              <w:t>Требухівської</w:t>
            </w:r>
            <w:proofErr w:type="spellEnd"/>
            <w:r w:rsidR="000F12CA" w:rsidRPr="008963E4">
              <w:rPr>
                <w:sz w:val="26"/>
                <w:szCs w:val="26"/>
                <w:lang w:val="uk-UA"/>
              </w:rPr>
              <w:t xml:space="preserve"> сільської ради Броварського району Київської області шляхом приєднання до Броварської міської </w:t>
            </w:r>
            <w:r w:rsidR="009C6A21">
              <w:rPr>
                <w:sz w:val="26"/>
                <w:szCs w:val="26"/>
                <w:lang w:val="uk-UA"/>
              </w:rPr>
              <w:t>ради</w:t>
            </w:r>
            <w:r w:rsidR="000F12CA" w:rsidRPr="008963E4">
              <w:rPr>
                <w:sz w:val="26"/>
                <w:szCs w:val="26"/>
                <w:lang w:val="uk-UA"/>
              </w:rPr>
              <w:t xml:space="preserve"> Броварського району Київської області»</w:t>
            </w:r>
            <w:r w:rsidR="003A4E92" w:rsidRPr="008963E4">
              <w:rPr>
                <w:sz w:val="26"/>
                <w:szCs w:val="26"/>
                <w:lang w:val="uk-UA"/>
              </w:rPr>
              <w:t>.</w:t>
            </w:r>
            <w:r w:rsidR="003A4E92">
              <w:rPr>
                <w:sz w:val="26"/>
                <w:szCs w:val="26"/>
                <w:lang w:val="uk-UA"/>
              </w:rPr>
              <w:t xml:space="preserve"> Актуалізація цінової політики. Приведення у відповідність до Типових правил розміщення з</w:t>
            </w:r>
            <w:r w:rsidR="005043AC">
              <w:rPr>
                <w:sz w:val="26"/>
                <w:szCs w:val="26"/>
                <w:lang w:val="uk-UA"/>
              </w:rPr>
              <w:t>овнішньої реклами, затверджених</w:t>
            </w:r>
            <w:r w:rsidR="003A4E92">
              <w:rPr>
                <w:sz w:val="26"/>
                <w:szCs w:val="26"/>
                <w:lang w:val="uk-UA"/>
              </w:rPr>
              <w:t xml:space="preserve"> постановою Кабінету Міністрів України від 29.12.2003 року № 2067 (із змінами)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201CF1" w:rsidP="00201CF1">
            <w:pPr>
              <w:ind w:left="32" w:right="174" w:hanging="110"/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  <w:lang w:val="uk-UA"/>
              </w:rPr>
              <w:t xml:space="preserve">квартал       2021 </w:t>
            </w:r>
            <w:r w:rsidRPr="00C47A8F">
              <w:rPr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36488A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</w:t>
            </w:r>
            <w:r w:rsidR="009B5AD0">
              <w:rPr>
                <w:sz w:val="26"/>
                <w:szCs w:val="26"/>
                <w:lang w:val="uk-UA"/>
              </w:rPr>
              <w:t xml:space="preserve">містобудування та архітектури </w:t>
            </w:r>
            <w:r>
              <w:rPr>
                <w:sz w:val="26"/>
                <w:szCs w:val="26"/>
                <w:lang w:val="uk-UA"/>
              </w:rPr>
              <w:t xml:space="preserve">виконавчого комітету </w:t>
            </w:r>
            <w:r w:rsidR="001C28B4" w:rsidRPr="00C47A8F">
              <w:rPr>
                <w:sz w:val="26"/>
                <w:szCs w:val="26"/>
                <w:lang w:val="uk-UA"/>
              </w:rPr>
              <w:t>Б</w:t>
            </w:r>
            <w:r w:rsidR="00766F1F" w:rsidRPr="00C47A8F">
              <w:rPr>
                <w:sz w:val="26"/>
                <w:szCs w:val="26"/>
                <w:lang w:val="uk-UA"/>
              </w:rPr>
              <w:t xml:space="preserve">роварської міської ради </w:t>
            </w:r>
            <w:r>
              <w:rPr>
                <w:sz w:val="26"/>
                <w:szCs w:val="26"/>
                <w:lang w:val="uk-UA"/>
              </w:rPr>
              <w:t>Броварського району</w:t>
            </w:r>
          </w:p>
          <w:p w:rsidR="00766F1F" w:rsidRPr="00C47A8F" w:rsidRDefault="00766F1F" w:rsidP="00671754">
            <w:pPr>
              <w:ind w:right="174"/>
              <w:rPr>
                <w:sz w:val="26"/>
                <w:szCs w:val="26"/>
                <w:lang w:val="uk-UA"/>
              </w:rPr>
            </w:pPr>
            <w:proofErr w:type="spellStart"/>
            <w:r w:rsidRPr="00C47A8F">
              <w:rPr>
                <w:sz w:val="26"/>
                <w:szCs w:val="26"/>
              </w:rPr>
              <w:t>Київської</w:t>
            </w:r>
            <w:proofErr w:type="spellEnd"/>
            <w:r w:rsidR="00323A5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7A8F">
              <w:rPr>
                <w:sz w:val="26"/>
                <w:szCs w:val="26"/>
              </w:rPr>
              <w:t>області</w:t>
            </w:r>
            <w:proofErr w:type="spellEnd"/>
          </w:p>
          <w:p w:rsidR="00766F1F" w:rsidRPr="00C47A8F" w:rsidRDefault="00766F1F" w:rsidP="00671754">
            <w:pPr>
              <w:ind w:right="174"/>
              <w:rPr>
                <w:sz w:val="26"/>
                <w:szCs w:val="26"/>
                <w:lang w:val="uk-UA"/>
              </w:rPr>
            </w:pPr>
          </w:p>
        </w:tc>
      </w:tr>
      <w:tr w:rsidR="00A07913" w:rsidRPr="00A07913" w:rsidTr="009C7512">
        <w:trPr>
          <w:trHeight w:val="3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13" w:rsidRPr="00C47A8F" w:rsidRDefault="00A07913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13" w:rsidRDefault="00A07913" w:rsidP="006D02DF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 xml:space="preserve">«Про </w:t>
            </w:r>
            <w:r w:rsidR="002702ED">
              <w:rPr>
                <w:rStyle w:val="a5"/>
                <w:i w:val="0"/>
                <w:color w:val="202020"/>
                <w:sz w:val="26"/>
                <w:szCs w:val="26"/>
              </w:rPr>
              <w:t>затвердження Порядку</w:t>
            </w:r>
            <w:r>
              <w:rPr>
                <w:rStyle w:val="a5"/>
                <w:i w:val="0"/>
                <w:color w:val="202020"/>
                <w:sz w:val="26"/>
                <w:szCs w:val="26"/>
              </w:rPr>
              <w:t xml:space="preserve"> розміщення тимчасових споруд на території Броварської </w:t>
            </w:r>
            <w:r w:rsidR="00421E83">
              <w:rPr>
                <w:rStyle w:val="a5"/>
                <w:i w:val="0"/>
                <w:color w:val="202020"/>
                <w:sz w:val="26"/>
                <w:szCs w:val="26"/>
              </w:rPr>
              <w:t xml:space="preserve">міської </w:t>
            </w:r>
            <w:r>
              <w:rPr>
                <w:rStyle w:val="a5"/>
                <w:i w:val="0"/>
                <w:color w:val="202020"/>
                <w:sz w:val="26"/>
                <w:szCs w:val="26"/>
              </w:rPr>
              <w:t>територіальної громади»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13" w:rsidRDefault="00A07913" w:rsidP="006D02D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Впорядкування розміщення тимчасових споруд для здійснення підприємницької діяльності на території</w:t>
            </w:r>
            <w:r w:rsidRPr="00A07913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Броварської </w:t>
            </w:r>
            <w:r w:rsidR="00AB5C5C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міської </w:t>
            </w:r>
            <w:r w:rsidRPr="00A07913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територіальної громади </w:t>
            </w:r>
            <w:r w:rsidR="004212EB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з врахуванням </w:t>
            </w:r>
            <w:r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будівельних</w:t>
            </w:r>
            <w:r w:rsidR="004212EB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вимог</w:t>
            </w:r>
            <w:r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, санітарно – гігієнічних норм та існуючих містобудівних обмежень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13" w:rsidRPr="00C47A8F" w:rsidRDefault="00A07913" w:rsidP="007643A9">
            <w:pPr>
              <w:ind w:left="31" w:right="174" w:hanging="110"/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  <w:lang w:val="uk-UA"/>
              </w:rPr>
              <w:t xml:space="preserve">квартал       2021 </w:t>
            </w:r>
            <w:r w:rsidRPr="00C47A8F">
              <w:rPr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1" w:rsidRPr="00C47A8F" w:rsidRDefault="00201CF1" w:rsidP="00201C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Управліннямістобудування та архітектури виконавчого комітету </w:t>
            </w:r>
            <w:r w:rsidRPr="00C47A8F">
              <w:rPr>
                <w:sz w:val="26"/>
                <w:szCs w:val="26"/>
                <w:lang w:val="uk-UA"/>
              </w:rPr>
              <w:t xml:space="preserve">Броварської міської ради </w:t>
            </w:r>
            <w:r>
              <w:rPr>
                <w:sz w:val="26"/>
                <w:szCs w:val="26"/>
                <w:lang w:val="uk-UA"/>
              </w:rPr>
              <w:t>Броварського району</w:t>
            </w:r>
          </w:p>
          <w:p w:rsidR="00A07913" w:rsidRDefault="00201CF1" w:rsidP="009C7512">
            <w:pPr>
              <w:ind w:right="174"/>
              <w:rPr>
                <w:sz w:val="26"/>
                <w:szCs w:val="26"/>
                <w:lang w:val="uk-UA"/>
              </w:rPr>
            </w:pPr>
            <w:proofErr w:type="spellStart"/>
            <w:r w:rsidRPr="00C47A8F">
              <w:rPr>
                <w:sz w:val="26"/>
                <w:szCs w:val="26"/>
              </w:rPr>
              <w:t>Київської</w:t>
            </w:r>
            <w:proofErr w:type="spellEnd"/>
            <w:r w:rsidR="00323A5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7A8F">
              <w:rPr>
                <w:sz w:val="26"/>
                <w:szCs w:val="26"/>
              </w:rPr>
              <w:t>області</w:t>
            </w:r>
            <w:proofErr w:type="spellEnd"/>
          </w:p>
        </w:tc>
      </w:tr>
      <w:tr w:rsidR="003A4E92" w:rsidRPr="00C9351D" w:rsidTr="0036488A">
        <w:trPr>
          <w:trHeight w:val="3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92" w:rsidRPr="00C47A8F" w:rsidRDefault="009C7512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92" w:rsidRDefault="00176751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>«Про затвердження Правил благоустрою Броварської міської територіальної громади»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92" w:rsidRDefault="00176751" w:rsidP="00D069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Виконання вимог чинного законодавства України, врегулювання </w:t>
            </w:r>
            <w:r w:rsidR="002F62AA">
              <w:rPr>
                <w:sz w:val="26"/>
                <w:szCs w:val="26"/>
                <w:lang w:val="uk-UA"/>
              </w:rPr>
              <w:t xml:space="preserve">правовідносин між </w:t>
            </w:r>
            <w:r>
              <w:rPr>
                <w:sz w:val="26"/>
                <w:szCs w:val="26"/>
                <w:lang w:val="uk-UA"/>
              </w:rPr>
              <w:t>Броварською міською</w:t>
            </w:r>
            <w:r w:rsidR="005263BC">
              <w:rPr>
                <w:sz w:val="26"/>
                <w:szCs w:val="26"/>
                <w:lang w:val="uk-UA"/>
              </w:rPr>
              <w:t>радою Броварського району Київської області</w:t>
            </w:r>
            <w:r w:rsidR="00D309FF">
              <w:rPr>
                <w:sz w:val="26"/>
                <w:szCs w:val="26"/>
                <w:lang w:val="uk-UA"/>
              </w:rPr>
              <w:t>,</w:t>
            </w:r>
            <w:r w:rsidR="00D0697F">
              <w:rPr>
                <w:sz w:val="26"/>
                <w:szCs w:val="26"/>
                <w:lang w:val="uk-UA"/>
              </w:rPr>
              <w:t xml:space="preserve"> виконавчим комітетом Броварської міської ради Броварського району Київської області,</w:t>
            </w:r>
            <w:r>
              <w:rPr>
                <w:sz w:val="26"/>
                <w:szCs w:val="26"/>
                <w:lang w:val="uk-UA"/>
              </w:rPr>
              <w:t xml:space="preserve"> суб’єктами господарювання, органами самоорганізаці</w:t>
            </w:r>
            <w:r w:rsidR="00D0697F">
              <w:rPr>
                <w:sz w:val="26"/>
                <w:szCs w:val="26"/>
                <w:lang w:val="uk-UA"/>
              </w:rPr>
              <w:t>ї населення та</w:t>
            </w:r>
            <w:r>
              <w:rPr>
                <w:sz w:val="26"/>
                <w:szCs w:val="26"/>
                <w:lang w:val="uk-UA"/>
              </w:rPr>
              <w:t xml:space="preserve"> громадянами</w:t>
            </w:r>
            <w:r w:rsidR="005912F7">
              <w:rPr>
                <w:sz w:val="26"/>
                <w:szCs w:val="26"/>
                <w:lang w:val="uk-UA"/>
              </w:rPr>
              <w:t>. В</w:t>
            </w:r>
            <w:r>
              <w:rPr>
                <w:sz w:val="26"/>
                <w:szCs w:val="26"/>
                <w:lang w:val="uk-UA"/>
              </w:rPr>
              <w:t xml:space="preserve">изначення механізму взаємовідносин </w:t>
            </w:r>
            <w:r w:rsidR="00D0697F">
              <w:rPr>
                <w:sz w:val="26"/>
                <w:szCs w:val="26"/>
                <w:lang w:val="uk-UA"/>
              </w:rPr>
              <w:t xml:space="preserve">між учасниками </w:t>
            </w:r>
            <w:r>
              <w:rPr>
                <w:sz w:val="26"/>
                <w:szCs w:val="26"/>
                <w:lang w:val="uk-UA"/>
              </w:rPr>
              <w:t xml:space="preserve">правовідносин, забезпечення сприятливого для життєдіяльності </w:t>
            </w:r>
            <w:r w:rsidR="00C9351D">
              <w:rPr>
                <w:sz w:val="26"/>
                <w:szCs w:val="26"/>
                <w:lang w:val="uk-UA"/>
              </w:rPr>
              <w:t>людини довкілля, збереження і охорону навколишнього середовища, забезпечення санітарного та епідеміологічного благополуччя мешканців, раціонального утримання  та використання об’</w:t>
            </w:r>
            <w:r w:rsidR="005E705D">
              <w:rPr>
                <w:sz w:val="26"/>
                <w:szCs w:val="26"/>
                <w:lang w:val="uk-UA"/>
              </w:rPr>
              <w:t>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92" w:rsidRPr="00C47A8F" w:rsidRDefault="005E705D" w:rsidP="00A07913">
            <w:pPr>
              <w:ind w:left="31" w:right="174" w:firstLine="32"/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 w:rsidR="00A07913">
              <w:rPr>
                <w:sz w:val="26"/>
                <w:szCs w:val="26"/>
                <w:lang w:val="uk-UA"/>
              </w:rPr>
              <w:t xml:space="preserve"> - </w:t>
            </w:r>
            <w:r>
              <w:rPr>
                <w:sz w:val="26"/>
                <w:szCs w:val="26"/>
                <w:lang w:val="en-US"/>
              </w:rPr>
              <w:t>III</w:t>
            </w:r>
            <w:r w:rsidR="00A07913">
              <w:rPr>
                <w:sz w:val="26"/>
                <w:szCs w:val="26"/>
                <w:lang w:val="uk-UA"/>
              </w:rPr>
              <w:t>квартал</w:t>
            </w:r>
            <w:r>
              <w:rPr>
                <w:sz w:val="26"/>
                <w:szCs w:val="26"/>
                <w:lang w:val="uk-UA"/>
              </w:rPr>
              <w:t xml:space="preserve">       2021 </w:t>
            </w:r>
            <w:r w:rsidRPr="00C47A8F">
              <w:rPr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92" w:rsidRDefault="005E705D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:rsidR="00126C51" w:rsidRPr="00C9351D" w:rsidTr="009C7512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51" w:rsidRDefault="009C7512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51" w:rsidRDefault="00126C51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 xml:space="preserve">«Про затвердження Порядку видачі дозволів на порушення об’єктів благоустрою або відмови в їх видачі, переоформлення, видачі дублікатів, анулювання  дозволів на </w:t>
            </w:r>
            <w:r>
              <w:rPr>
                <w:rStyle w:val="a5"/>
                <w:i w:val="0"/>
                <w:color w:val="202020"/>
                <w:sz w:val="26"/>
                <w:szCs w:val="26"/>
              </w:rPr>
              <w:lastRenderedPageBreak/>
              <w:t>території Броварської міської територіальної громади»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51" w:rsidRPr="00126C51" w:rsidRDefault="00126C51" w:rsidP="007B16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Виконання вимог чинного законодавства України, врегулювання </w:t>
            </w:r>
            <w:r w:rsidR="002702ED">
              <w:rPr>
                <w:sz w:val="26"/>
                <w:szCs w:val="26"/>
                <w:lang w:val="uk-UA"/>
              </w:rPr>
              <w:t xml:space="preserve">правовідносин між </w:t>
            </w:r>
            <w:r>
              <w:rPr>
                <w:sz w:val="26"/>
                <w:szCs w:val="26"/>
                <w:lang w:val="uk-UA"/>
              </w:rPr>
              <w:t xml:space="preserve">Броварською </w:t>
            </w:r>
            <w:r w:rsidR="009E4E24">
              <w:rPr>
                <w:sz w:val="26"/>
                <w:szCs w:val="26"/>
                <w:lang w:val="uk-UA"/>
              </w:rPr>
              <w:t xml:space="preserve">міською </w:t>
            </w:r>
            <w:r w:rsidR="006B32D5">
              <w:rPr>
                <w:sz w:val="26"/>
                <w:szCs w:val="26"/>
                <w:lang w:val="uk-UA"/>
              </w:rPr>
              <w:t xml:space="preserve">радою </w:t>
            </w:r>
            <w:r w:rsidR="00C868BC">
              <w:rPr>
                <w:sz w:val="26"/>
                <w:szCs w:val="26"/>
                <w:lang w:val="uk-UA"/>
              </w:rPr>
              <w:t>Броварського району Київської області</w:t>
            </w:r>
            <w:r w:rsidR="002702ED">
              <w:rPr>
                <w:sz w:val="26"/>
                <w:szCs w:val="26"/>
                <w:lang w:val="uk-UA"/>
              </w:rPr>
              <w:t xml:space="preserve"> та</w:t>
            </w:r>
            <w:r>
              <w:rPr>
                <w:sz w:val="26"/>
                <w:szCs w:val="26"/>
                <w:lang w:val="uk-UA"/>
              </w:rPr>
              <w:t xml:space="preserve"> суб’єктами господарювання, встановлення процедури видачі дозволів або відмови в їх видачі, </w:t>
            </w:r>
            <w:r w:rsidR="002F62AA">
              <w:rPr>
                <w:sz w:val="26"/>
                <w:szCs w:val="26"/>
                <w:lang w:val="uk-UA"/>
              </w:rPr>
              <w:t xml:space="preserve">переоформлення, </w:t>
            </w:r>
            <w:r w:rsidRPr="00126C51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видачі дублікатів, анулювання  дозволі</w:t>
            </w:r>
            <w:r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в, створення механізму обліку </w:t>
            </w:r>
            <w:r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lastRenderedPageBreak/>
              <w:t>та контролю за ві</w:t>
            </w:r>
            <w:r w:rsidR="007B16A7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дновленням об’єктів благоустрою</w:t>
            </w:r>
            <w:r w:rsidR="00407690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,</w:t>
            </w:r>
            <w:r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на яких проводяться земляні та/або ремонтні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51" w:rsidRPr="00126C51" w:rsidRDefault="00126C51" w:rsidP="004370B6">
            <w:pPr>
              <w:ind w:left="31" w:right="174" w:firstLine="32"/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en-US"/>
              </w:rPr>
              <w:lastRenderedPageBreak/>
              <w:t>I</w:t>
            </w:r>
            <w:r>
              <w:rPr>
                <w:sz w:val="26"/>
                <w:szCs w:val="26"/>
                <w:lang w:val="en-US"/>
              </w:rPr>
              <w:t xml:space="preserve">I </w:t>
            </w:r>
            <w:r w:rsidR="00357D07">
              <w:rPr>
                <w:sz w:val="26"/>
                <w:szCs w:val="26"/>
                <w:lang w:val="uk-UA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III</w:t>
            </w:r>
            <w:r w:rsidR="004370B6">
              <w:rPr>
                <w:sz w:val="26"/>
                <w:szCs w:val="26"/>
                <w:lang w:val="uk-UA"/>
              </w:rPr>
              <w:t xml:space="preserve"> квартал</w:t>
            </w:r>
            <w:r>
              <w:rPr>
                <w:sz w:val="26"/>
                <w:szCs w:val="26"/>
                <w:lang w:val="uk-UA"/>
              </w:rPr>
              <w:t xml:space="preserve">    2021 </w:t>
            </w:r>
            <w:r w:rsidRPr="00C47A8F">
              <w:rPr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51" w:rsidRDefault="00126C51" w:rsidP="0067175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</w:tbl>
    <w:p w:rsidR="00766F1F" w:rsidRPr="00113189" w:rsidRDefault="00766F1F" w:rsidP="00766F1F">
      <w:pPr>
        <w:rPr>
          <w:sz w:val="26"/>
          <w:szCs w:val="26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A323D6" w:rsidRDefault="00A323D6" w:rsidP="00A323D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D26B8">
        <w:rPr>
          <w:sz w:val="28"/>
          <w:szCs w:val="28"/>
          <w:lang w:val="uk-UA"/>
        </w:rPr>
        <w:t xml:space="preserve">                         Ігор </w:t>
      </w:r>
      <w:r w:rsidR="00D37F87">
        <w:rPr>
          <w:sz w:val="28"/>
          <w:szCs w:val="28"/>
          <w:lang w:val="uk-UA"/>
        </w:rPr>
        <w:t>САПОЖКО</w:t>
      </w: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9C7512" w:rsidSect="00323A52">
      <w:pgSz w:w="11906" w:h="16838"/>
      <w:pgMar w:top="709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05"/>
    <w:multiLevelType w:val="hybridMultilevel"/>
    <w:tmpl w:val="8DAC99BA"/>
    <w:lvl w:ilvl="0" w:tplc="78E4286E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F1F"/>
    <w:rsid w:val="00087F48"/>
    <w:rsid w:val="000934B0"/>
    <w:rsid w:val="000A5D69"/>
    <w:rsid w:val="000F12CA"/>
    <w:rsid w:val="0011749A"/>
    <w:rsid w:val="00126C51"/>
    <w:rsid w:val="00136572"/>
    <w:rsid w:val="00142595"/>
    <w:rsid w:val="00143F79"/>
    <w:rsid w:val="001459EC"/>
    <w:rsid w:val="001606FC"/>
    <w:rsid w:val="00170430"/>
    <w:rsid w:val="00173094"/>
    <w:rsid w:val="00175A37"/>
    <w:rsid w:val="00176751"/>
    <w:rsid w:val="00183E55"/>
    <w:rsid w:val="00185D0E"/>
    <w:rsid w:val="001A1075"/>
    <w:rsid w:val="001C28B4"/>
    <w:rsid w:val="001C6ECD"/>
    <w:rsid w:val="001D0B0D"/>
    <w:rsid w:val="00201CF1"/>
    <w:rsid w:val="0024271D"/>
    <w:rsid w:val="00256E8C"/>
    <w:rsid w:val="002702ED"/>
    <w:rsid w:val="00277314"/>
    <w:rsid w:val="00280BFE"/>
    <w:rsid w:val="00282B0F"/>
    <w:rsid w:val="0029069F"/>
    <w:rsid w:val="002D43A8"/>
    <w:rsid w:val="002F62AA"/>
    <w:rsid w:val="00323A52"/>
    <w:rsid w:val="00332219"/>
    <w:rsid w:val="003322B0"/>
    <w:rsid w:val="00332428"/>
    <w:rsid w:val="00357D07"/>
    <w:rsid w:val="0036488A"/>
    <w:rsid w:val="00372259"/>
    <w:rsid w:val="00376AA0"/>
    <w:rsid w:val="003A4E92"/>
    <w:rsid w:val="003D148B"/>
    <w:rsid w:val="003E3842"/>
    <w:rsid w:val="003E6DEA"/>
    <w:rsid w:val="00407690"/>
    <w:rsid w:val="004212EB"/>
    <w:rsid w:val="00421E83"/>
    <w:rsid w:val="004370B6"/>
    <w:rsid w:val="004839B0"/>
    <w:rsid w:val="00483B40"/>
    <w:rsid w:val="0049487A"/>
    <w:rsid w:val="004C2689"/>
    <w:rsid w:val="004C6272"/>
    <w:rsid w:val="005043AC"/>
    <w:rsid w:val="0051013B"/>
    <w:rsid w:val="00511228"/>
    <w:rsid w:val="00515875"/>
    <w:rsid w:val="005263BC"/>
    <w:rsid w:val="00535843"/>
    <w:rsid w:val="005526AA"/>
    <w:rsid w:val="00557339"/>
    <w:rsid w:val="00571059"/>
    <w:rsid w:val="005912F7"/>
    <w:rsid w:val="005E705D"/>
    <w:rsid w:val="00604FD6"/>
    <w:rsid w:val="00622D73"/>
    <w:rsid w:val="00623F36"/>
    <w:rsid w:val="006507EA"/>
    <w:rsid w:val="00652C92"/>
    <w:rsid w:val="00663BC8"/>
    <w:rsid w:val="00691AB3"/>
    <w:rsid w:val="006A3B70"/>
    <w:rsid w:val="006A71EB"/>
    <w:rsid w:val="006B32D5"/>
    <w:rsid w:val="006D02DF"/>
    <w:rsid w:val="006D26B8"/>
    <w:rsid w:val="00703D99"/>
    <w:rsid w:val="0071090C"/>
    <w:rsid w:val="007331FA"/>
    <w:rsid w:val="00744690"/>
    <w:rsid w:val="007643A9"/>
    <w:rsid w:val="00766F1F"/>
    <w:rsid w:val="0079047B"/>
    <w:rsid w:val="00790C40"/>
    <w:rsid w:val="0079103C"/>
    <w:rsid w:val="007B16A7"/>
    <w:rsid w:val="007C5107"/>
    <w:rsid w:val="007C5B4A"/>
    <w:rsid w:val="007C7AE8"/>
    <w:rsid w:val="007E4EA0"/>
    <w:rsid w:val="007F0B30"/>
    <w:rsid w:val="007F5F36"/>
    <w:rsid w:val="00806B90"/>
    <w:rsid w:val="00806FD8"/>
    <w:rsid w:val="008107D9"/>
    <w:rsid w:val="0083079E"/>
    <w:rsid w:val="00831D29"/>
    <w:rsid w:val="00840E9B"/>
    <w:rsid w:val="00852062"/>
    <w:rsid w:val="008560C0"/>
    <w:rsid w:val="00880C22"/>
    <w:rsid w:val="008963E4"/>
    <w:rsid w:val="008A4BC3"/>
    <w:rsid w:val="008B7994"/>
    <w:rsid w:val="008C6FC6"/>
    <w:rsid w:val="00900606"/>
    <w:rsid w:val="00914530"/>
    <w:rsid w:val="0093352D"/>
    <w:rsid w:val="00941A32"/>
    <w:rsid w:val="00945D10"/>
    <w:rsid w:val="00960F7C"/>
    <w:rsid w:val="009B078E"/>
    <w:rsid w:val="009B5AD0"/>
    <w:rsid w:val="009C6A21"/>
    <w:rsid w:val="009C7512"/>
    <w:rsid w:val="009E4E24"/>
    <w:rsid w:val="009F5B5D"/>
    <w:rsid w:val="00A07913"/>
    <w:rsid w:val="00A20FC2"/>
    <w:rsid w:val="00A26C0D"/>
    <w:rsid w:val="00A2706E"/>
    <w:rsid w:val="00A323D6"/>
    <w:rsid w:val="00A32AB2"/>
    <w:rsid w:val="00A51EDE"/>
    <w:rsid w:val="00A6768E"/>
    <w:rsid w:val="00A75034"/>
    <w:rsid w:val="00A75FA8"/>
    <w:rsid w:val="00AB5C5C"/>
    <w:rsid w:val="00B13A39"/>
    <w:rsid w:val="00B24468"/>
    <w:rsid w:val="00B30184"/>
    <w:rsid w:val="00B420CE"/>
    <w:rsid w:val="00B645D5"/>
    <w:rsid w:val="00B747CB"/>
    <w:rsid w:val="00B87B5A"/>
    <w:rsid w:val="00B9181F"/>
    <w:rsid w:val="00B92949"/>
    <w:rsid w:val="00BB63E3"/>
    <w:rsid w:val="00BD2BA3"/>
    <w:rsid w:val="00BE34D0"/>
    <w:rsid w:val="00BE612A"/>
    <w:rsid w:val="00BF2381"/>
    <w:rsid w:val="00C145A3"/>
    <w:rsid w:val="00C45DE7"/>
    <w:rsid w:val="00C47A8F"/>
    <w:rsid w:val="00C65850"/>
    <w:rsid w:val="00C65EAC"/>
    <w:rsid w:val="00C6776E"/>
    <w:rsid w:val="00C703D7"/>
    <w:rsid w:val="00C868BC"/>
    <w:rsid w:val="00C9351D"/>
    <w:rsid w:val="00CA4B98"/>
    <w:rsid w:val="00CB0ACD"/>
    <w:rsid w:val="00CC0ED0"/>
    <w:rsid w:val="00CD01CA"/>
    <w:rsid w:val="00CE0A97"/>
    <w:rsid w:val="00CF7670"/>
    <w:rsid w:val="00D009C1"/>
    <w:rsid w:val="00D0697F"/>
    <w:rsid w:val="00D309FF"/>
    <w:rsid w:val="00D31A33"/>
    <w:rsid w:val="00D37F87"/>
    <w:rsid w:val="00D91320"/>
    <w:rsid w:val="00DD437F"/>
    <w:rsid w:val="00E71C84"/>
    <w:rsid w:val="00E7278B"/>
    <w:rsid w:val="00E80599"/>
    <w:rsid w:val="00EB7D57"/>
    <w:rsid w:val="00EC581A"/>
    <w:rsid w:val="00EF2A21"/>
    <w:rsid w:val="00F27E03"/>
    <w:rsid w:val="00F32038"/>
    <w:rsid w:val="00F70D15"/>
    <w:rsid w:val="00F8448C"/>
    <w:rsid w:val="00F85BA5"/>
    <w:rsid w:val="00F92BA5"/>
    <w:rsid w:val="00FB3150"/>
    <w:rsid w:val="00FC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F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623F36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F1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766F1F"/>
    <w:rPr>
      <w:b/>
      <w:bCs/>
    </w:rPr>
  </w:style>
  <w:style w:type="character" w:styleId="a5">
    <w:name w:val="Emphasis"/>
    <w:basedOn w:val="a0"/>
    <w:uiPriority w:val="20"/>
    <w:qFormat/>
    <w:rsid w:val="00766F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13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2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623F36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8A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170</cp:revision>
  <cp:lastPrinted>2021-04-07T07:09:00Z</cp:lastPrinted>
  <dcterms:created xsi:type="dcterms:W3CDTF">2019-02-01T13:09:00Z</dcterms:created>
  <dcterms:modified xsi:type="dcterms:W3CDTF">2021-04-28T08:10:00Z</dcterms:modified>
</cp:coreProperties>
</file>