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01" w:rsidRPr="001710E9" w:rsidRDefault="00986901" w:rsidP="00A706D3">
      <w:pPr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</w:t>
      </w:r>
    </w:p>
    <w:p w:rsidR="00986901" w:rsidRPr="001710E9" w:rsidRDefault="00986901" w:rsidP="00A706D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рішення </w:t>
      </w:r>
      <w:r w:rsidR="00B379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виконавчого комітету Броварської міської ради Броварського району Київської області</w:t>
      </w:r>
    </w:p>
    <w:p w:rsidR="00986901" w:rsidRPr="00B379F3" w:rsidRDefault="00FF4F8E" w:rsidP="00A706D3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FF4F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</w:t>
      </w:r>
      <w:r w:rsidR="00D803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15.06.2021</w:t>
      </w:r>
      <w:r w:rsidR="00986901" w:rsidRPr="00FF4F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bookmarkStart w:id="0" w:name="_GoBack"/>
      <w:r w:rsidR="00986901" w:rsidRPr="00D803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803BD" w:rsidRPr="00D803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454</w:t>
      </w:r>
      <w:bookmarkEnd w:id="0"/>
    </w:p>
    <w:p w:rsidR="00B4588B" w:rsidRDefault="00B4588B" w:rsidP="00292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86901" w:rsidRPr="001710E9" w:rsidRDefault="00986901" w:rsidP="00292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ВИСНОВОК</w:t>
      </w:r>
    </w:p>
    <w:p w:rsidR="00986901" w:rsidRPr="001710E9" w:rsidRDefault="00986901" w:rsidP="00292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стосовно доцільності залучення кредиту </w:t>
      </w:r>
      <w:bookmarkStart w:id="1" w:name="_Hlk8818741"/>
      <w:r w:rsidRPr="001710E9">
        <w:rPr>
          <w:rFonts w:ascii="Times New Roman" w:eastAsia="Times New Roman" w:hAnsi="Times New Roman" w:cs="Times New Roman"/>
          <w:caps/>
          <w:sz w:val="28"/>
          <w:szCs w:val="28"/>
          <w:lang w:val="uk-UA" w:eastAsia="uk-UA"/>
        </w:rPr>
        <w:t xml:space="preserve">комунальним </w:t>
      </w:r>
      <w:r w:rsidR="001740BE" w:rsidRPr="001710E9">
        <w:rPr>
          <w:rFonts w:ascii="Times New Roman" w:eastAsia="Times New Roman" w:hAnsi="Times New Roman" w:cs="Times New Roman"/>
          <w:caps/>
          <w:sz w:val="28"/>
          <w:szCs w:val="28"/>
          <w:lang w:val="uk-UA" w:eastAsia="uk-UA"/>
        </w:rPr>
        <w:t>ПІДПРИЄМСТВОМ БРОВАРСЬКОЇ МІСЬКОЇ РАДИ БРОВАРСЬКОГО РАЙОНУ КИЇВСЬКОЇ ОБЛАСТІ «БРОВАРИТЕПЛОВОДОЕНЕРГІЯ»</w:t>
      </w:r>
      <w:bookmarkEnd w:id="1"/>
      <w:r w:rsidR="00DF70EA">
        <w:rPr>
          <w:rFonts w:ascii="Times New Roman" w:eastAsia="Times New Roman" w:hAnsi="Times New Roman" w:cs="Times New Roman"/>
          <w:caps/>
          <w:sz w:val="28"/>
          <w:szCs w:val="28"/>
          <w:lang w:val="uk-UA" w:eastAsia="uk-UA"/>
        </w:rPr>
        <w:t xml:space="preserve"> 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 гарантію </w:t>
      </w:r>
      <w:r w:rsidR="001740BE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Броварської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</w:t>
      </w:r>
      <w:r w:rsidR="001740BE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Броварського району Київської області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Північної екологічної фінансової корпорації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реалізації 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1710E9">
        <w:rPr>
          <w:rFonts w:ascii="Times New Roman" w:hAnsi="Times New Roman" w:cs="Times New Roman"/>
          <w:sz w:val="28"/>
          <w:szCs w:val="28"/>
          <w:lang w:val="uk-UA"/>
        </w:rPr>
        <w:t xml:space="preserve">Інвестиційний </w:t>
      </w:r>
      <w:proofErr w:type="spellStart"/>
      <w:r w:rsidRPr="001710E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710E9">
        <w:rPr>
          <w:rFonts w:ascii="Times New Roman" w:hAnsi="Times New Roman" w:cs="Times New Roman"/>
          <w:sz w:val="28"/>
          <w:szCs w:val="28"/>
          <w:lang w:val="uk-UA"/>
        </w:rPr>
        <w:t xml:space="preserve"> з модернізації системи централізованого теплопостачання м. </w:t>
      </w:r>
      <w:r w:rsidR="001740BE" w:rsidRPr="001710E9">
        <w:rPr>
          <w:rFonts w:ascii="Times New Roman" w:hAnsi="Times New Roman" w:cs="Times New Roman"/>
          <w:sz w:val="28"/>
          <w:szCs w:val="28"/>
          <w:lang w:val="uk-UA"/>
        </w:rPr>
        <w:t>Бровари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:rsidR="00986901" w:rsidRPr="001710E9" w:rsidRDefault="00986901" w:rsidP="0029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86901" w:rsidRPr="001710E9" w:rsidRDefault="00986901" w:rsidP="00292AF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даний час в м. </w:t>
      </w:r>
      <w:r w:rsidR="001740BE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Бровари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проживає понад </w:t>
      </w:r>
      <w:r w:rsidR="001740BE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108 тисяч мешканців міста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Цент</w:t>
      </w:r>
      <w:r w:rsidR="001740BE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ралізованим теплопостачанням у Бровари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забезпечено </w:t>
      </w:r>
      <w:r w:rsidR="001740BE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86% ринку загального споживання теплової енергії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виробляється майже </w:t>
      </w:r>
      <w:r w:rsidR="001740BE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252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ГВт∙год теплової енергії у рік. Система центрального теплопостачання м.</w:t>
      </w:r>
      <w:r w:rsidR="00DF70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740BE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Бровари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розділена на окремі мер</w:t>
      </w:r>
      <w:r w:rsidR="001740BE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ежі, загальна їх довжина сягає 81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км. У КП «</w:t>
      </w:r>
      <w:r w:rsidR="001740BE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БРОВАРИТЕПЛОВОДОЕНЕРГІЯ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DF70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експлуатації знаходиться </w:t>
      </w:r>
      <w:r w:rsidR="008D20A6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</w:t>
      </w:r>
      <w:r w:rsidR="00DC75D9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стаціонарних котельних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підприємство забезпечує теплом </w:t>
      </w:r>
      <w:r w:rsidR="00C86DB2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917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об’єктів, у тому числі </w:t>
      </w:r>
      <w:r w:rsidR="00C86DB2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404 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житлових будинків, послуга гарячого водопостачання надається лише впродовж опалювального сезону.</w:t>
      </w:r>
    </w:p>
    <w:p w:rsidR="00986901" w:rsidRPr="001710E9" w:rsidRDefault="00986901" w:rsidP="00292AF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Через загальні особливості регулювання в сфері централізованого теплопостачання України діяльність КП «</w:t>
      </w:r>
      <w:r w:rsidR="004F57C0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БРОВАРИТЕПЛОВОДОЕНЕРГІЯ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5161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здебільшого збиткова. Найбільша частка в наявних боргових зобов’язаннях підприємства — це заборгованість за спожитий природний газ. Місто регулярно надає фінансову підтримку КП «</w:t>
      </w:r>
      <w:r w:rsidR="004F57C0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БРОВАРИТЕПЛОВОДОЕНЕРГІЯ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що дозволяє забезпечувати стабільне фінансування операційної діяльності підприємства.</w:t>
      </w:r>
    </w:p>
    <w:p w:rsidR="00986901" w:rsidRPr="001710E9" w:rsidRDefault="00986901" w:rsidP="00292AF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1710E9">
        <w:rPr>
          <w:rFonts w:ascii="Times New Roman" w:hAnsi="Times New Roman" w:cs="Times New Roman"/>
          <w:sz w:val="28"/>
          <w:szCs w:val="28"/>
          <w:lang w:val="uk-UA"/>
        </w:rPr>
        <w:t xml:space="preserve">Інвестиційний </w:t>
      </w:r>
      <w:proofErr w:type="spellStart"/>
      <w:r w:rsidRPr="001710E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710E9">
        <w:rPr>
          <w:rFonts w:ascii="Times New Roman" w:hAnsi="Times New Roman" w:cs="Times New Roman"/>
          <w:sz w:val="28"/>
          <w:szCs w:val="28"/>
          <w:lang w:val="uk-UA"/>
        </w:rPr>
        <w:t xml:space="preserve"> з модернізації системи централізованого теплопостачання м. </w:t>
      </w:r>
      <w:r w:rsidR="00C86DB2" w:rsidRPr="001710E9">
        <w:rPr>
          <w:rFonts w:ascii="Times New Roman" w:hAnsi="Times New Roman" w:cs="Times New Roman"/>
          <w:sz w:val="28"/>
          <w:szCs w:val="28"/>
          <w:lang w:val="uk-UA"/>
        </w:rPr>
        <w:t>Бровари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(надалі – 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реалізується в рамках програми «Швеція-Україна: підтримка централізованого теплопостачання» (надалі – SUDH) від 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NEFCO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Метою програми SUDH є демонстрація можливості створення у місті сучасного й 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енергоефективного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централізованого теплопостачання, що відповідає вимогам ЄС та при якому частка виробництва базується на скидному теплі. Довгострокова стратегія КП «</w:t>
      </w:r>
      <w:r w:rsidR="00FA09C7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БРОВАРИТЕПЛОВОДОЕНЕРГІЯ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», в свою чергу, направлена на перетворення міських систем теплопостачання, керованих виробництвом, на системи, орієнтовані на споживача й керовані попитом, з високоякісними послугами та зменшенням негативного впливу на довкілля. </w:t>
      </w:r>
    </w:p>
    <w:p w:rsidR="00986901" w:rsidRPr="001710E9" w:rsidRDefault="00986901" w:rsidP="00292AF0">
      <w:pPr>
        <w:pStyle w:val="ac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Зміст 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з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апропонований 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повністю відповідає пріоритетам програми SUDH, довгостроковій стратегії розвитку теплопостачального підприємства та складається з наступних компонентів:</w:t>
      </w:r>
    </w:p>
    <w:p w:rsidR="00986901" w:rsidRPr="001710E9" w:rsidRDefault="00986901" w:rsidP="00292AF0">
      <w:pPr>
        <w:pStyle w:val="ac"/>
        <w:numPr>
          <w:ilvl w:val="1"/>
          <w:numId w:val="3"/>
        </w:numPr>
        <w:tabs>
          <w:tab w:val="left" w:pos="1134"/>
        </w:tabs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Використання скидного тепла від </w:t>
      </w:r>
      <w:r w:rsidR="00FA09C7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ТОВ «</w:t>
      </w:r>
      <w:proofErr w:type="spellStart"/>
      <w:r w:rsidR="00FA09C7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Орієнтир-Буделемент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986901" w:rsidRPr="001710E9" w:rsidRDefault="00986901" w:rsidP="00292AF0">
      <w:pPr>
        <w:pStyle w:val="ac"/>
        <w:numPr>
          <w:ilvl w:val="1"/>
          <w:numId w:val="3"/>
        </w:numPr>
        <w:tabs>
          <w:tab w:val="left" w:pos="1134"/>
        </w:tabs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Об’єднання мереж теплопостачання.</w:t>
      </w:r>
    </w:p>
    <w:p w:rsidR="00986901" w:rsidRPr="001710E9" w:rsidRDefault="00986901" w:rsidP="00292AF0">
      <w:pPr>
        <w:pStyle w:val="ac"/>
        <w:numPr>
          <w:ilvl w:val="1"/>
          <w:numId w:val="3"/>
        </w:numPr>
        <w:tabs>
          <w:tab w:val="left" w:pos="1134"/>
        </w:tabs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Встановлення конденсаційного теплообмінника в котельні</w:t>
      </w:r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вулиці Ярослава    Мудрого, 96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986901" w:rsidRPr="001710E9" w:rsidRDefault="00986901" w:rsidP="00292AF0">
      <w:pPr>
        <w:pStyle w:val="ac"/>
        <w:numPr>
          <w:ilvl w:val="1"/>
          <w:numId w:val="3"/>
        </w:numPr>
        <w:tabs>
          <w:tab w:val="left" w:pos="1134"/>
        </w:tabs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Встановлення індивідуальних теплових пунктів (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надалі-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ІТП).</w:t>
      </w:r>
    </w:p>
    <w:p w:rsidR="00986901" w:rsidRPr="001710E9" w:rsidRDefault="00986901" w:rsidP="00292AF0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Цілі 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986901" w:rsidRPr="001710E9" w:rsidRDefault="00986901" w:rsidP="00292AF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Покращення роботи системи централізованого теплопостачання та її ефективності.</w:t>
      </w:r>
    </w:p>
    <w:p w:rsidR="00986901" w:rsidRPr="001710E9" w:rsidRDefault="00986901" w:rsidP="00292AF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Підвищення якості послуг централізованого опалення та постачання гарячої води для мешканців м. </w:t>
      </w:r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Бровари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86901" w:rsidRPr="001710E9" w:rsidRDefault="00986901" w:rsidP="00292AF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Поліпшення екологічної ситуації в місті за рахунок скорочення викидів оксидів вуглецю та 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діоксидів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азоту.</w:t>
      </w:r>
    </w:p>
    <w:p w:rsidR="00986901" w:rsidRPr="001710E9" w:rsidRDefault="00986901" w:rsidP="00292AF0">
      <w:pPr>
        <w:pStyle w:val="ac"/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Завдання, які необхідно виконати для досягнення поставлених цілей:</w:t>
      </w:r>
    </w:p>
    <w:p w:rsidR="00986901" w:rsidRPr="001710E9" w:rsidRDefault="00986901" w:rsidP="00292AF0">
      <w:pPr>
        <w:pStyle w:val="ac"/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Придбання обладнання та робіт для часткової заміни природного газу при виробництві гарячої води за рахунок пари (скидного тепла) від </w:t>
      </w:r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ТОВ «</w:t>
      </w:r>
      <w:proofErr w:type="spellStart"/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Орієнтир-Буделемент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507536" w:rsidRPr="001710E9" w:rsidRDefault="00986901" w:rsidP="00292AF0">
      <w:pPr>
        <w:pStyle w:val="ac"/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Придбання трубопроводів та робіт задля об’єднання мереж теплопостачання</w:t>
      </w:r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986901" w:rsidRPr="001710E9" w:rsidRDefault="00986901" w:rsidP="00292AF0">
      <w:pPr>
        <w:pStyle w:val="ac"/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Придбання конденсаційного теплообмінника для котельні</w:t>
      </w:r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вулиці Ярослава Мудрого, 96.</w:t>
      </w:r>
    </w:p>
    <w:p w:rsidR="00986901" w:rsidRPr="001710E9" w:rsidRDefault="00986901" w:rsidP="00292AF0">
      <w:pPr>
        <w:pStyle w:val="ac"/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Встановлення ІТП для будинків, що обслуговуються котельними об’єднаної мережі.</w:t>
      </w:r>
    </w:p>
    <w:p w:rsidR="00986901" w:rsidRPr="001710E9" w:rsidRDefault="00986901" w:rsidP="00292AF0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1134" w:right="-1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Очікувані результати 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986901" w:rsidRPr="001710E9" w:rsidRDefault="00986901" w:rsidP="00292AF0">
      <w:pPr>
        <w:pStyle w:val="ac"/>
        <w:numPr>
          <w:ilvl w:val="1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Створення у місті сучасного й 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енергоефективного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централізованого теплопостачання.</w:t>
      </w:r>
    </w:p>
    <w:p w:rsidR="00986901" w:rsidRPr="001710E9" w:rsidRDefault="00986901" w:rsidP="00292AF0">
      <w:pPr>
        <w:pStyle w:val="ac"/>
        <w:numPr>
          <w:ilvl w:val="1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Підвищення якості послуг централізованого опалення та постачання гарячої води для мешканців м. </w:t>
      </w:r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Бровари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86901" w:rsidRPr="001710E9" w:rsidRDefault="00986901" w:rsidP="00292AF0">
      <w:pPr>
        <w:pStyle w:val="ac"/>
        <w:numPr>
          <w:ilvl w:val="1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Поліпшення екологічної ситуації в місті за рахунок скорочення викидів оксидів вуглецю та 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діоксидів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азоту.</w:t>
      </w:r>
    </w:p>
    <w:p w:rsidR="00986901" w:rsidRPr="001710E9" w:rsidRDefault="00986901" w:rsidP="00292AF0">
      <w:pPr>
        <w:pStyle w:val="ac"/>
        <w:numPr>
          <w:ilvl w:val="1"/>
          <w:numId w:val="2"/>
        </w:numPr>
        <w:tabs>
          <w:tab w:val="left" w:pos="1134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Зниження витрат палива, електроенергії, води при виробництві теплової енергії внаслідок встановлення сучасного ефективного обладнання.</w:t>
      </w:r>
    </w:p>
    <w:p w:rsidR="00986901" w:rsidRPr="001710E9" w:rsidRDefault="00986901" w:rsidP="00292AF0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Вплив </w:t>
      </w:r>
      <w:proofErr w:type="spellStart"/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Проєкту</w:t>
      </w:r>
      <w:proofErr w:type="spellEnd"/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на економічний та соціальний розвиток міста </w:t>
      </w:r>
      <w:r w:rsidR="00507536"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Бровари</w:t>
      </w: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:</w:t>
      </w:r>
    </w:p>
    <w:p w:rsidR="00986901" w:rsidRPr="001710E9" w:rsidRDefault="00986901" w:rsidP="00516136">
      <w:pPr>
        <w:tabs>
          <w:tab w:val="left" w:pos="993"/>
          <w:tab w:val="left" w:pos="1134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</w:t>
      </w:r>
      <w:r w:rsidR="005161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абезпечення високоякісного, стабільного, економічного централізованого теплопостачання та постачання гарячої води у місті </w:t>
      </w:r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Бровари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86901" w:rsidRPr="001710E9" w:rsidRDefault="00986901" w:rsidP="00292AF0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 Скорочення кількості аварійних випадків на мережах теплопостачання.</w:t>
      </w:r>
    </w:p>
    <w:p w:rsidR="00986901" w:rsidRPr="001710E9" w:rsidRDefault="00986901" w:rsidP="00292AF0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5.3. Підвищення рівня комфорту мешканців міста </w:t>
      </w:r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Бровари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86901" w:rsidRPr="001710E9" w:rsidRDefault="00986901" w:rsidP="00292AF0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5.4. Покращення екологічної обстановки в місті.</w:t>
      </w:r>
    </w:p>
    <w:p w:rsidR="00986901" w:rsidRPr="001710E9" w:rsidRDefault="00986901" w:rsidP="00292A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6. Загальна інвестиційна вартість </w:t>
      </w:r>
      <w:proofErr w:type="spellStart"/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Проєкту</w:t>
      </w:r>
      <w:proofErr w:type="spellEnd"/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‒ 7 </w:t>
      </w:r>
      <w:r w:rsidR="00507536"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360</w:t>
      </w: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 000 (сім мільйонів </w:t>
      </w:r>
      <w:r w:rsidR="00507536"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триста шістдесят</w:t>
      </w: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тисяч) євро. Сума вказана без урахування процентних та додаткових виплат за обслуговування кредиту.</w:t>
      </w:r>
    </w:p>
    <w:p w:rsidR="00986901" w:rsidRPr="001710E9" w:rsidRDefault="00986901" w:rsidP="00292A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7. Строки реалізації </w:t>
      </w:r>
      <w:proofErr w:type="spellStart"/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Проєкту</w:t>
      </w:r>
      <w:proofErr w:type="spellEnd"/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‒ 2021-202</w:t>
      </w:r>
      <w:r w:rsidR="00507536"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5</w:t>
      </w: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роки.</w:t>
      </w:r>
    </w:p>
    <w:p w:rsidR="00986901" w:rsidRPr="001710E9" w:rsidRDefault="00986901" w:rsidP="00292A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8. Обсяг та валюта фінансування: </w:t>
      </w:r>
    </w:p>
    <w:p w:rsidR="00986901" w:rsidRPr="001710E9" w:rsidRDefault="00986901" w:rsidP="00292A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8.1. Загальний обсяг </w:t>
      </w:r>
      <w:r w:rsidR="00507536"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–7 360</w:t>
      </w: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 000 (сім мільйонів </w:t>
      </w:r>
      <w:r w:rsidR="00507536"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триста шістдесят</w:t>
      </w: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тисяч) євро, або еквівалент національної валюти за офіційним курсом Національного </w:t>
      </w: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lastRenderedPageBreak/>
        <w:t>банку України на дату зарахування коштів на рахунок позичальника, у тому числі:</w:t>
      </w:r>
    </w:p>
    <w:p w:rsidR="00986901" w:rsidRPr="001710E9" w:rsidRDefault="00986901" w:rsidP="00292A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8.1.1. Кредит від NEFCO – 5 000 000 (п’ять мільйонів) євро.</w:t>
      </w:r>
    </w:p>
    <w:p w:rsidR="00986901" w:rsidRPr="001710E9" w:rsidRDefault="00986901" w:rsidP="00292A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8.1.2. Інвестиційний грант</w:t>
      </w:r>
      <w:r w:rsidR="0051613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– 1 500 000</w:t>
      </w:r>
      <w:r w:rsidRPr="001710E9">
        <w:rPr>
          <w:rFonts w:ascii="Times New Roman" w:hAnsi="Times New Roman" w:cs="Times New Roman"/>
          <w:sz w:val="28"/>
          <w:szCs w:val="28"/>
          <w:lang w:val="uk-UA"/>
        </w:rPr>
        <w:t xml:space="preserve"> (півтора мільйона) євро від Фонду «Швеція-Україна: підтримка централізованого теплопостачання», що </w:t>
      </w:r>
      <w:proofErr w:type="spellStart"/>
      <w:r w:rsidRPr="001710E9">
        <w:rPr>
          <w:rFonts w:ascii="Times New Roman" w:hAnsi="Times New Roman" w:cs="Times New Roman"/>
          <w:sz w:val="28"/>
          <w:szCs w:val="28"/>
          <w:lang w:val="uk-UA"/>
        </w:rPr>
        <w:t>адмініструється</w:t>
      </w:r>
      <w:proofErr w:type="spellEnd"/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NEFCO</w:t>
      </w:r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986901" w:rsidRPr="001710E9" w:rsidRDefault="00986901" w:rsidP="00292A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8.1.3. Капітальні видатки за рахунок місцевого бюджету </w:t>
      </w: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‒</w:t>
      </w:r>
      <w:r w:rsidR="00507536" w:rsidRPr="001710E9">
        <w:rPr>
          <w:rFonts w:ascii="Times New Roman" w:hAnsi="Times New Roman" w:cs="Times New Roman"/>
          <w:sz w:val="28"/>
          <w:szCs w:val="28"/>
          <w:lang w:val="uk-UA"/>
        </w:rPr>
        <w:t>860 000</w:t>
      </w:r>
      <w:r w:rsidRPr="001710E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07536" w:rsidRPr="001710E9">
        <w:rPr>
          <w:rFonts w:ascii="Times New Roman" w:hAnsi="Times New Roman" w:cs="Times New Roman"/>
          <w:sz w:val="28"/>
          <w:szCs w:val="28"/>
          <w:lang w:val="uk-UA"/>
        </w:rPr>
        <w:t xml:space="preserve">вісімсот </w:t>
      </w:r>
      <w:r w:rsidRPr="001710E9">
        <w:rPr>
          <w:rFonts w:ascii="Times New Roman" w:hAnsi="Times New Roman" w:cs="Times New Roman"/>
          <w:sz w:val="28"/>
          <w:szCs w:val="28"/>
          <w:lang w:val="uk-UA"/>
        </w:rPr>
        <w:t>шіст</w:t>
      </w:r>
      <w:r w:rsidR="00507536" w:rsidRPr="001710E9">
        <w:rPr>
          <w:rFonts w:ascii="Times New Roman" w:hAnsi="Times New Roman" w:cs="Times New Roman"/>
          <w:sz w:val="28"/>
          <w:szCs w:val="28"/>
          <w:lang w:val="uk-UA"/>
        </w:rPr>
        <w:t>десят</w:t>
      </w:r>
      <w:r w:rsidRPr="001710E9">
        <w:rPr>
          <w:rFonts w:ascii="Times New Roman" w:hAnsi="Times New Roman" w:cs="Times New Roman"/>
          <w:sz w:val="28"/>
          <w:szCs w:val="28"/>
          <w:lang w:val="uk-UA"/>
        </w:rPr>
        <w:t xml:space="preserve">  тисяч) євро.</w:t>
      </w:r>
    </w:p>
    <w:p w:rsidR="00986901" w:rsidRPr="001710E9" w:rsidRDefault="00986901" w:rsidP="00292A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9. Обсяг кредиту, який залучається для реалізації </w:t>
      </w:r>
      <w:proofErr w:type="spellStart"/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Проєкту</w:t>
      </w:r>
      <w:proofErr w:type="spellEnd"/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‒ 5 000 000 (п’ять мільйонів) євро.</w:t>
      </w:r>
    </w:p>
    <w:p w:rsidR="00986901" w:rsidRPr="001710E9" w:rsidRDefault="00986901" w:rsidP="00292A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10. Джерела повернення кредиту:</w:t>
      </w:r>
    </w:p>
    <w:p w:rsidR="00986901" w:rsidRPr="001710E9" w:rsidRDefault="00986901" w:rsidP="00292AF0">
      <w:pPr>
        <w:tabs>
          <w:tab w:val="left" w:pos="1418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10.1. Власні кошти 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КП «</w:t>
      </w:r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БРОВАРИТЕПЛОВОДОЕНЕРГІЯ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986901" w:rsidRPr="001710E9" w:rsidRDefault="00986901" w:rsidP="00292AF0">
      <w:pPr>
        <w:tabs>
          <w:tab w:val="left" w:pos="1418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10.2. Кошти місцевого бюджету.</w:t>
      </w:r>
    </w:p>
    <w:p w:rsidR="00986901" w:rsidRPr="001710E9" w:rsidRDefault="00986901" w:rsidP="00292A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11. Оцінка ефективності 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</w:p>
    <w:p w:rsidR="006D0591" w:rsidRPr="001710E9" w:rsidRDefault="00986901" w:rsidP="00292A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Використання скидного тепла </w:t>
      </w:r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ТОВ «</w:t>
      </w:r>
      <w:proofErr w:type="spellStart"/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Орієнтир-Буделемент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та об’єднання мереж </w:t>
      </w:r>
      <w:r w:rsidR="00394D02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дозволить </w:t>
      </w:r>
      <w:r w:rsidR="00516136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об’єднати</w:t>
      </w:r>
      <w:r w:rsidR="00394D02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теплові мережі міста в кільцеву систему, що зробить систему більш гнучкою, 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дасть можливість </w:t>
      </w:r>
      <w:r w:rsidR="00507536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скоротити перебої у постачанні тепла при проблемах в котельнях або мережах, 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постачати гарячу воду споживачам цих мереж протягом всього року, що призведе до підвищення якості послуг централізованого теплопостачання у місті. Встановлення конденсаційного економайзера, автоматизація технологічних процесів, модернізація насосного обла</w:t>
      </w:r>
      <w:r w:rsidR="00394D02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днання 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зробить виробництво теплової енергії більш ефективним. Поетапне встановлення ІТП у будинках, що будуть обслуговуватися цими об’єднаними мережами, дозволить створити систему більш орієнтованою на споживача та на підвищення комфорту та якості послуг. </w:t>
      </w:r>
    </w:p>
    <w:p w:rsidR="00394D02" w:rsidRPr="001710E9" w:rsidRDefault="00986901" w:rsidP="00292A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Зменшення споживання природного газу за рахунок використання скидної пари </w:t>
      </w:r>
      <w:r w:rsidR="00394D02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ТОВ «</w:t>
      </w:r>
      <w:proofErr w:type="spellStart"/>
      <w:r w:rsidR="00394D02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Орієнтир-Буделемент</w:t>
      </w:r>
      <w:proofErr w:type="spellEnd"/>
      <w:r w:rsidR="00394D02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призведе до скорочення викидів оксиду вуглецю та оксидів азоту. </w:t>
      </w:r>
    </w:p>
    <w:p w:rsidR="00986901" w:rsidRPr="001710E9" w:rsidRDefault="00986901" w:rsidP="00292A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Також цей 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може вплинути на подальший розвиток використання інших джерел скидного тепла при виробництві теплової енергії підприємством. </w:t>
      </w:r>
    </w:p>
    <w:p w:rsidR="00986901" w:rsidRPr="001710E9" w:rsidRDefault="00986901" w:rsidP="00292AF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12. Кінцевий строк кредиту ‒ до 9 років після підписання Договору Кредитування.</w:t>
      </w:r>
      <w:r w:rsidR="00720C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Пільговий період – 30 місяців після підписання Договору Кредитування. 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Сплата відсотків за користування кредитом та виплат з погашення кредиту здійснюється у строки та згідно з </w:t>
      </w:r>
      <w:r w:rsidRPr="001710E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ar-SA"/>
        </w:rPr>
        <w:t xml:space="preserve">умовами, встановленими Договором Кредитування між КП </w:t>
      </w:r>
      <w:r w:rsidRPr="001710E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«</w:t>
      </w:r>
      <w:r w:rsidR="00394D02" w:rsidRPr="001710E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БРОВАРИТЕПЛОВОДОЕНЕРГІЯ</w:t>
      </w:r>
      <w:r w:rsidRPr="001710E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»</w:t>
      </w:r>
      <w:r w:rsidR="00720C5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 xml:space="preserve"> 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NEFCO.</w:t>
      </w:r>
    </w:p>
    <w:p w:rsidR="00986901" w:rsidRPr="001710E9" w:rsidRDefault="00986901" w:rsidP="00292AF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Враховуючи викладене, виконавчий комітет </w:t>
      </w:r>
      <w:r w:rsidR="00394D02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Броварської міської ради Броварського району Київської області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вважає доцільним дозволити КП</w:t>
      </w:r>
      <w:r w:rsidR="00394D02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«БРОВАРИТЕПЛОВОДОЕНЕРГІЯ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залучити кредит від NEFCO для реалізації </w:t>
      </w:r>
      <w:proofErr w:type="spellStart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 гарантію </w:t>
      </w:r>
      <w:r w:rsidR="00394D02"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Броварської міської ради Броварського району Київської області</w:t>
      </w:r>
      <w:r w:rsidRPr="00171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986901" w:rsidRDefault="00986901" w:rsidP="0029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A1175" w:rsidRDefault="00BA1175" w:rsidP="0029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A1175" w:rsidRPr="001710E9" w:rsidRDefault="00BA1175" w:rsidP="00BA1175">
      <w:pPr>
        <w:tabs>
          <w:tab w:val="left" w:pos="6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Ігор САПОЖКО</w:t>
      </w:r>
    </w:p>
    <w:sectPr w:rsidR="00BA1175" w:rsidRPr="001710E9" w:rsidSect="00CE6661">
      <w:headerReference w:type="default" r:id="rId8"/>
      <w:pgSz w:w="11906" w:h="16838"/>
      <w:pgMar w:top="709" w:right="849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09" w:rsidRDefault="003D6B09">
      <w:pPr>
        <w:spacing w:after="0" w:line="240" w:lineRule="auto"/>
      </w:pPr>
      <w:r>
        <w:separator/>
      </w:r>
    </w:p>
  </w:endnote>
  <w:endnote w:type="continuationSeparator" w:id="0">
    <w:p w:rsidR="003D6B09" w:rsidRDefault="003D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09" w:rsidRDefault="003D6B09">
      <w:pPr>
        <w:spacing w:after="0" w:line="240" w:lineRule="auto"/>
      </w:pPr>
      <w:r>
        <w:separator/>
      </w:r>
    </w:p>
  </w:footnote>
  <w:footnote w:type="continuationSeparator" w:id="0">
    <w:p w:rsidR="003D6B09" w:rsidRDefault="003D6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D3" w:rsidRPr="00FC4ED3" w:rsidRDefault="00D803BD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190904" w:rsidRPr="00190904" w:rsidRDefault="00D803BD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2773"/>
    <w:multiLevelType w:val="multilevel"/>
    <w:tmpl w:val="48844374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>
    <w:nsid w:val="18800CB1"/>
    <w:multiLevelType w:val="hybridMultilevel"/>
    <w:tmpl w:val="65ACE682"/>
    <w:lvl w:ilvl="0" w:tplc="D43E070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6CA25A4E"/>
    <w:multiLevelType w:val="multilevel"/>
    <w:tmpl w:val="4FD873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1" w:hanging="1800"/>
      </w:pPr>
      <w:rPr>
        <w:rFonts w:hint="default"/>
      </w:rPr>
    </w:lvl>
  </w:abstractNum>
  <w:abstractNum w:abstractNumId="3">
    <w:nsid w:val="73816A23"/>
    <w:multiLevelType w:val="multilevel"/>
    <w:tmpl w:val="2780E5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EB7"/>
    <w:rsid w:val="00002516"/>
    <w:rsid w:val="000042BA"/>
    <w:rsid w:val="00011338"/>
    <w:rsid w:val="0001561B"/>
    <w:rsid w:val="00040EC2"/>
    <w:rsid w:val="0008101F"/>
    <w:rsid w:val="00084689"/>
    <w:rsid w:val="00086366"/>
    <w:rsid w:val="000A3EB7"/>
    <w:rsid w:val="000B4A75"/>
    <w:rsid w:val="000C5B4B"/>
    <w:rsid w:val="000F1929"/>
    <w:rsid w:val="00113C2F"/>
    <w:rsid w:val="001710E9"/>
    <w:rsid w:val="00173357"/>
    <w:rsid w:val="001740BE"/>
    <w:rsid w:val="00177D27"/>
    <w:rsid w:val="00177FD1"/>
    <w:rsid w:val="001C3216"/>
    <w:rsid w:val="001D36A7"/>
    <w:rsid w:val="001E0211"/>
    <w:rsid w:val="0021451F"/>
    <w:rsid w:val="00267A57"/>
    <w:rsid w:val="002716EC"/>
    <w:rsid w:val="0027612A"/>
    <w:rsid w:val="0027612B"/>
    <w:rsid w:val="00292AF0"/>
    <w:rsid w:val="002B64F5"/>
    <w:rsid w:val="002D0E33"/>
    <w:rsid w:val="002E7757"/>
    <w:rsid w:val="00314970"/>
    <w:rsid w:val="00331F92"/>
    <w:rsid w:val="00351AC6"/>
    <w:rsid w:val="0037077C"/>
    <w:rsid w:val="00376B95"/>
    <w:rsid w:val="003810D1"/>
    <w:rsid w:val="00394D02"/>
    <w:rsid w:val="003C1EB2"/>
    <w:rsid w:val="003C5EEC"/>
    <w:rsid w:val="003D6B09"/>
    <w:rsid w:val="003E0C5D"/>
    <w:rsid w:val="003F3E70"/>
    <w:rsid w:val="004155BE"/>
    <w:rsid w:val="00435188"/>
    <w:rsid w:val="00484940"/>
    <w:rsid w:val="004922CD"/>
    <w:rsid w:val="004955BA"/>
    <w:rsid w:val="004A031D"/>
    <w:rsid w:val="004A7927"/>
    <w:rsid w:val="004C2DFE"/>
    <w:rsid w:val="004C7121"/>
    <w:rsid w:val="004E03FA"/>
    <w:rsid w:val="004F57C0"/>
    <w:rsid w:val="0050250D"/>
    <w:rsid w:val="00507189"/>
    <w:rsid w:val="00507536"/>
    <w:rsid w:val="00511694"/>
    <w:rsid w:val="00516136"/>
    <w:rsid w:val="00534433"/>
    <w:rsid w:val="005A1939"/>
    <w:rsid w:val="005A5725"/>
    <w:rsid w:val="005C045D"/>
    <w:rsid w:val="005C2CD5"/>
    <w:rsid w:val="005F5B38"/>
    <w:rsid w:val="005F71C8"/>
    <w:rsid w:val="006167FB"/>
    <w:rsid w:val="0063451F"/>
    <w:rsid w:val="006576DA"/>
    <w:rsid w:val="00657BF8"/>
    <w:rsid w:val="0066008C"/>
    <w:rsid w:val="0067421A"/>
    <w:rsid w:val="00690257"/>
    <w:rsid w:val="00695A6F"/>
    <w:rsid w:val="006A7D32"/>
    <w:rsid w:val="006C06C3"/>
    <w:rsid w:val="006D0591"/>
    <w:rsid w:val="006E735C"/>
    <w:rsid w:val="006F63FA"/>
    <w:rsid w:val="0070089F"/>
    <w:rsid w:val="00704D23"/>
    <w:rsid w:val="00720C5C"/>
    <w:rsid w:val="00744F75"/>
    <w:rsid w:val="00750BE7"/>
    <w:rsid w:val="00774C52"/>
    <w:rsid w:val="00780AF6"/>
    <w:rsid w:val="007964EF"/>
    <w:rsid w:val="007B67C4"/>
    <w:rsid w:val="007C4109"/>
    <w:rsid w:val="007E1306"/>
    <w:rsid w:val="007F7687"/>
    <w:rsid w:val="008617C0"/>
    <w:rsid w:val="00881AF9"/>
    <w:rsid w:val="00897794"/>
    <w:rsid w:val="008A526A"/>
    <w:rsid w:val="008B316E"/>
    <w:rsid w:val="008B4164"/>
    <w:rsid w:val="008B5E75"/>
    <w:rsid w:val="008D20A6"/>
    <w:rsid w:val="008D5F13"/>
    <w:rsid w:val="008F37D2"/>
    <w:rsid w:val="008F626D"/>
    <w:rsid w:val="00910799"/>
    <w:rsid w:val="00921CE4"/>
    <w:rsid w:val="00930028"/>
    <w:rsid w:val="00930CEB"/>
    <w:rsid w:val="0094056F"/>
    <w:rsid w:val="00945402"/>
    <w:rsid w:val="009500CB"/>
    <w:rsid w:val="009706D9"/>
    <w:rsid w:val="00986901"/>
    <w:rsid w:val="00991EC7"/>
    <w:rsid w:val="009C2A12"/>
    <w:rsid w:val="009C33B7"/>
    <w:rsid w:val="009D546A"/>
    <w:rsid w:val="009D76C1"/>
    <w:rsid w:val="009F3A8B"/>
    <w:rsid w:val="00A271EB"/>
    <w:rsid w:val="00A436E9"/>
    <w:rsid w:val="00A67A80"/>
    <w:rsid w:val="00A706D3"/>
    <w:rsid w:val="00A81569"/>
    <w:rsid w:val="00A824EF"/>
    <w:rsid w:val="00AB7C76"/>
    <w:rsid w:val="00AD2C88"/>
    <w:rsid w:val="00B1716E"/>
    <w:rsid w:val="00B2184B"/>
    <w:rsid w:val="00B379F3"/>
    <w:rsid w:val="00B43923"/>
    <w:rsid w:val="00B4588B"/>
    <w:rsid w:val="00B62552"/>
    <w:rsid w:val="00B70C70"/>
    <w:rsid w:val="00BA062A"/>
    <w:rsid w:val="00BA1175"/>
    <w:rsid w:val="00BB263F"/>
    <w:rsid w:val="00BC05C4"/>
    <w:rsid w:val="00BE2AF1"/>
    <w:rsid w:val="00C0700B"/>
    <w:rsid w:val="00C10CB0"/>
    <w:rsid w:val="00C13488"/>
    <w:rsid w:val="00C172C6"/>
    <w:rsid w:val="00C24610"/>
    <w:rsid w:val="00C4283D"/>
    <w:rsid w:val="00C4520F"/>
    <w:rsid w:val="00C572DC"/>
    <w:rsid w:val="00C71695"/>
    <w:rsid w:val="00C747C6"/>
    <w:rsid w:val="00C857FF"/>
    <w:rsid w:val="00C86DB2"/>
    <w:rsid w:val="00CA55BC"/>
    <w:rsid w:val="00CC47C2"/>
    <w:rsid w:val="00CC5FCE"/>
    <w:rsid w:val="00CD4F00"/>
    <w:rsid w:val="00CE0A03"/>
    <w:rsid w:val="00CE2A22"/>
    <w:rsid w:val="00CE6661"/>
    <w:rsid w:val="00CF48E6"/>
    <w:rsid w:val="00CF4EFA"/>
    <w:rsid w:val="00D132CA"/>
    <w:rsid w:val="00D350D1"/>
    <w:rsid w:val="00D41B9B"/>
    <w:rsid w:val="00D42D97"/>
    <w:rsid w:val="00D51342"/>
    <w:rsid w:val="00D55BF4"/>
    <w:rsid w:val="00D561E0"/>
    <w:rsid w:val="00D7780D"/>
    <w:rsid w:val="00D803BD"/>
    <w:rsid w:val="00DB63D4"/>
    <w:rsid w:val="00DC75D9"/>
    <w:rsid w:val="00DF6C54"/>
    <w:rsid w:val="00DF70EA"/>
    <w:rsid w:val="00E1794B"/>
    <w:rsid w:val="00E2376B"/>
    <w:rsid w:val="00E23E20"/>
    <w:rsid w:val="00E55DF9"/>
    <w:rsid w:val="00E60959"/>
    <w:rsid w:val="00E95CAC"/>
    <w:rsid w:val="00EA1FE5"/>
    <w:rsid w:val="00ED37EB"/>
    <w:rsid w:val="00ED5F92"/>
    <w:rsid w:val="00F076B3"/>
    <w:rsid w:val="00F55987"/>
    <w:rsid w:val="00F57AE9"/>
    <w:rsid w:val="00F95C1E"/>
    <w:rsid w:val="00FA09C7"/>
    <w:rsid w:val="00FC1529"/>
    <w:rsid w:val="00FF4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3A8B"/>
  </w:style>
  <w:style w:type="character" w:styleId="a5">
    <w:name w:val="annotation reference"/>
    <w:basedOn w:val="a0"/>
    <w:uiPriority w:val="99"/>
    <w:semiHidden/>
    <w:unhideWhenUsed/>
    <w:rsid w:val="006E735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E735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E735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735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735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735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86901"/>
    <w:pPr>
      <w:ind w:left="720"/>
      <w:contextualSpacing/>
    </w:pPr>
  </w:style>
  <w:style w:type="paragraph" w:styleId="ad">
    <w:name w:val="No Spacing"/>
    <w:uiPriority w:val="1"/>
    <w:qFormat/>
    <w:rsid w:val="00292AF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semiHidden/>
    <w:unhideWhenUsed/>
    <w:rsid w:val="006C06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C0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3A8B"/>
  </w:style>
  <w:style w:type="character" w:styleId="a5">
    <w:name w:val="annotation reference"/>
    <w:basedOn w:val="a0"/>
    <w:uiPriority w:val="99"/>
    <w:semiHidden/>
    <w:unhideWhenUsed/>
    <w:rsid w:val="006E735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E735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E735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735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735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735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86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marsovet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Зубенко Сергей Сергеевич</dc:creator>
  <cp:lastModifiedBy>admin</cp:lastModifiedBy>
  <cp:revision>66</cp:revision>
  <cp:lastPrinted>2021-06-03T06:25:00Z</cp:lastPrinted>
  <dcterms:created xsi:type="dcterms:W3CDTF">2021-06-02T09:17:00Z</dcterms:created>
  <dcterms:modified xsi:type="dcterms:W3CDTF">2021-06-15T10:56:00Z</dcterms:modified>
</cp:coreProperties>
</file>