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F7" w:rsidRPr="00436249" w:rsidRDefault="004377F7" w:rsidP="00A734B4">
      <w:pPr>
        <w:ind w:firstLine="6096"/>
        <w:rPr>
          <w:sz w:val="24"/>
          <w:szCs w:val="24"/>
          <w:lang w:val="uk-UA"/>
        </w:rPr>
      </w:pPr>
      <w:r w:rsidRPr="00436249">
        <w:rPr>
          <w:sz w:val="24"/>
          <w:szCs w:val="24"/>
          <w:lang w:val="uk-UA"/>
        </w:rPr>
        <w:t xml:space="preserve">Додаток </w:t>
      </w:r>
    </w:p>
    <w:p w:rsidR="004377F7" w:rsidRPr="00436249" w:rsidRDefault="004377F7" w:rsidP="00A734B4">
      <w:pPr>
        <w:ind w:firstLine="6096"/>
        <w:rPr>
          <w:sz w:val="24"/>
          <w:szCs w:val="24"/>
          <w:lang w:val="uk-UA"/>
        </w:rPr>
      </w:pPr>
      <w:r w:rsidRPr="00436249">
        <w:rPr>
          <w:sz w:val="24"/>
          <w:szCs w:val="24"/>
          <w:lang w:val="uk-UA"/>
        </w:rPr>
        <w:t xml:space="preserve">до рішення </w:t>
      </w:r>
    </w:p>
    <w:p w:rsidR="004377F7" w:rsidRPr="00436249" w:rsidRDefault="004377F7" w:rsidP="00A734B4">
      <w:pPr>
        <w:ind w:firstLine="6096"/>
        <w:rPr>
          <w:sz w:val="24"/>
          <w:szCs w:val="24"/>
          <w:lang w:val="uk-UA"/>
        </w:rPr>
      </w:pPr>
      <w:r w:rsidRPr="00436249">
        <w:rPr>
          <w:sz w:val="24"/>
          <w:szCs w:val="24"/>
          <w:lang w:val="uk-UA"/>
        </w:rPr>
        <w:t>Броварської міської ради</w:t>
      </w:r>
    </w:p>
    <w:p w:rsidR="00061ED9" w:rsidRPr="00436249" w:rsidRDefault="00061ED9" w:rsidP="00A734B4">
      <w:pPr>
        <w:ind w:firstLine="6096"/>
        <w:rPr>
          <w:sz w:val="24"/>
          <w:szCs w:val="24"/>
          <w:lang w:val="uk-UA"/>
        </w:rPr>
      </w:pPr>
      <w:r w:rsidRPr="00436249">
        <w:rPr>
          <w:sz w:val="24"/>
          <w:szCs w:val="24"/>
          <w:lang w:val="uk-UA"/>
        </w:rPr>
        <w:t>Броварського району</w:t>
      </w:r>
    </w:p>
    <w:p w:rsidR="00061ED9" w:rsidRPr="00436249" w:rsidRDefault="00061ED9" w:rsidP="00A734B4">
      <w:pPr>
        <w:ind w:firstLine="6096"/>
        <w:rPr>
          <w:sz w:val="24"/>
          <w:szCs w:val="24"/>
          <w:lang w:val="uk-UA"/>
        </w:rPr>
      </w:pPr>
      <w:r w:rsidRPr="00436249">
        <w:rPr>
          <w:sz w:val="24"/>
          <w:szCs w:val="24"/>
          <w:lang w:val="uk-UA"/>
        </w:rPr>
        <w:t>Київської області</w:t>
      </w:r>
    </w:p>
    <w:p w:rsidR="004377F7" w:rsidRPr="00436249" w:rsidRDefault="00E54467" w:rsidP="00A734B4">
      <w:pPr>
        <w:ind w:firstLine="609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 04.03.2021 </w:t>
      </w:r>
      <w:r w:rsidR="004377F7" w:rsidRPr="00436249">
        <w:rPr>
          <w:sz w:val="24"/>
          <w:szCs w:val="24"/>
          <w:lang w:val="uk-UA"/>
        </w:rPr>
        <w:t>року</w:t>
      </w:r>
    </w:p>
    <w:p w:rsidR="004377F7" w:rsidRPr="00436249" w:rsidRDefault="00E54467" w:rsidP="00A734B4">
      <w:pPr>
        <w:ind w:firstLine="609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37-03-08</w:t>
      </w:r>
    </w:p>
    <w:p w:rsidR="004377F7" w:rsidRPr="00436249" w:rsidRDefault="004377F7" w:rsidP="00A734B4">
      <w:pPr>
        <w:rPr>
          <w:sz w:val="24"/>
          <w:szCs w:val="24"/>
          <w:lang w:val="uk-UA"/>
        </w:rPr>
      </w:pPr>
    </w:p>
    <w:p w:rsidR="004377F7" w:rsidRPr="00436249" w:rsidRDefault="004377F7" w:rsidP="00A734B4">
      <w:pPr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ПРОГРАМА</w:t>
      </w:r>
    </w:p>
    <w:p w:rsidR="001D6375" w:rsidRPr="00436249" w:rsidRDefault="004377F7" w:rsidP="00A734B4">
      <w:pPr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 xml:space="preserve"> фінансової підтримки комунальних підприємств</w:t>
      </w:r>
    </w:p>
    <w:p w:rsidR="004377F7" w:rsidRPr="00436249" w:rsidRDefault="00061ED9" w:rsidP="00A734B4">
      <w:pPr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 xml:space="preserve">Броварської міської територіальної громади </w:t>
      </w:r>
      <w:r w:rsidR="004377F7" w:rsidRPr="00436249">
        <w:rPr>
          <w:b/>
          <w:szCs w:val="28"/>
          <w:lang w:val="uk-UA"/>
        </w:rPr>
        <w:t>на 20</w:t>
      </w:r>
      <w:r w:rsidR="00347BBE" w:rsidRPr="00436249">
        <w:rPr>
          <w:b/>
          <w:szCs w:val="28"/>
          <w:lang w:val="uk-UA"/>
        </w:rPr>
        <w:t>21</w:t>
      </w:r>
      <w:r w:rsidR="004377F7" w:rsidRPr="00436249">
        <w:rPr>
          <w:b/>
          <w:szCs w:val="28"/>
          <w:lang w:val="uk-UA"/>
        </w:rPr>
        <w:t xml:space="preserve">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821"/>
        <w:gridCol w:w="4891"/>
      </w:tblGrid>
      <w:tr w:rsidR="001203F1" w:rsidRPr="00436249" w:rsidTr="00C20199">
        <w:tc>
          <w:tcPr>
            <w:tcW w:w="633" w:type="dxa"/>
          </w:tcPr>
          <w:p w:rsidR="001203F1" w:rsidRPr="00436249" w:rsidRDefault="001203F1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3821" w:type="dxa"/>
          </w:tcPr>
          <w:p w:rsidR="001203F1" w:rsidRPr="00436249" w:rsidRDefault="00BE19D4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І</w:t>
            </w:r>
            <w:r w:rsidR="001203F1" w:rsidRPr="00436249">
              <w:rPr>
                <w:sz w:val="27"/>
                <w:szCs w:val="27"/>
                <w:lang w:val="uk-UA"/>
              </w:rPr>
              <w:t>ніціатор розроблення Програми</w:t>
            </w:r>
          </w:p>
        </w:tc>
        <w:tc>
          <w:tcPr>
            <w:tcW w:w="4891" w:type="dxa"/>
          </w:tcPr>
          <w:p w:rsidR="001203F1" w:rsidRPr="00436249" w:rsidRDefault="00BE19D4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</w:t>
            </w:r>
            <w:r w:rsidR="00E86033" w:rsidRPr="00436249">
              <w:rPr>
                <w:sz w:val="27"/>
                <w:szCs w:val="27"/>
                <w:lang w:val="uk-UA"/>
              </w:rPr>
              <w:t>правління будівництва, житлово – комунального господарства, інфраструктури та транспорту Броварської міської ради</w:t>
            </w:r>
            <w:r w:rsidR="002E2B2B" w:rsidRPr="00436249">
              <w:rPr>
                <w:sz w:val="27"/>
                <w:szCs w:val="27"/>
                <w:lang w:val="uk-UA"/>
              </w:rPr>
              <w:t xml:space="preserve"> Броварського району</w:t>
            </w:r>
            <w:r w:rsidR="00E86033" w:rsidRPr="00436249">
              <w:rPr>
                <w:sz w:val="27"/>
                <w:szCs w:val="27"/>
                <w:lang w:val="uk-UA"/>
              </w:rPr>
              <w:t xml:space="preserve"> Київської області</w:t>
            </w:r>
          </w:p>
        </w:tc>
      </w:tr>
      <w:tr w:rsidR="001203F1" w:rsidRPr="00436249" w:rsidTr="00C20199">
        <w:tc>
          <w:tcPr>
            <w:tcW w:w="633" w:type="dxa"/>
          </w:tcPr>
          <w:p w:rsidR="001203F1" w:rsidRPr="00436249" w:rsidRDefault="001203F1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3821" w:type="dxa"/>
          </w:tcPr>
          <w:p w:rsidR="001203F1" w:rsidRPr="00436249" w:rsidRDefault="00BE19D4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Р</w:t>
            </w:r>
            <w:r w:rsidR="001203F1" w:rsidRPr="00436249">
              <w:rPr>
                <w:sz w:val="27"/>
                <w:szCs w:val="27"/>
                <w:lang w:val="uk-UA"/>
              </w:rPr>
              <w:t xml:space="preserve">озробники </w:t>
            </w:r>
            <w:r w:rsidR="00061ED9" w:rsidRPr="00436249">
              <w:rPr>
                <w:sz w:val="27"/>
                <w:szCs w:val="27"/>
                <w:lang w:val="uk-UA"/>
              </w:rPr>
              <w:t>П</w:t>
            </w:r>
            <w:r w:rsidR="001203F1" w:rsidRPr="00436249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891" w:type="dxa"/>
          </w:tcPr>
          <w:p w:rsidR="001203F1" w:rsidRPr="00436249" w:rsidRDefault="00BE19D4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</w:t>
            </w:r>
            <w:r w:rsidR="001203F1" w:rsidRPr="00436249">
              <w:rPr>
                <w:sz w:val="27"/>
                <w:szCs w:val="27"/>
                <w:lang w:val="uk-UA"/>
              </w:rPr>
              <w:t>правління будівництва, житлово – комунального господарства, інфраструктури та транспорту Броварської міської ради</w:t>
            </w:r>
            <w:r w:rsidR="002E2B2B" w:rsidRPr="00436249">
              <w:rPr>
                <w:sz w:val="27"/>
                <w:szCs w:val="27"/>
                <w:lang w:val="uk-UA"/>
              </w:rPr>
              <w:t xml:space="preserve"> Броварського району</w:t>
            </w:r>
            <w:r w:rsidR="001203F1" w:rsidRPr="00436249">
              <w:rPr>
                <w:sz w:val="27"/>
                <w:szCs w:val="27"/>
                <w:lang w:val="uk-UA"/>
              </w:rPr>
              <w:t xml:space="preserve"> Київської області</w:t>
            </w:r>
          </w:p>
        </w:tc>
      </w:tr>
      <w:tr w:rsidR="00106739" w:rsidRPr="00E54467" w:rsidTr="00C20199">
        <w:tc>
          <w:tcPr>
            <w:tcW w:w="633" w:type="dxa"/>
          </w:tcPr>
          <w:p w:rsidR="00106739" w:rsidRPr="00436249" w:rsidRDefault="0010673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3821" w:type="dxa"/>
          </w:tcPr>
          <w:p w:rsidR="00106739" w:rsidRPr="00436249" w:rsidRDefault="00106739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Головні</w:t>
            </w:r>
            <w:r w:rsidR="00C135BB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розпорядники</w:t>
            </w:r>
            <w:r w:rsidR="00C135BB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бюджетних</w:t>
            </w:r>
            <w:r w:rsidR="00C135BB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коштів на виконання</w:t>
            </w:r>
            <w:r w:rsidR="00C135BB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Програми</w:t>
            </w:r>
          </w:p>
        </w:tc>
        <w:tc>
          <w:tcPr>
            <w:tcW w:w="4891" w:type="dxa"/>
          </w:tcPr>
          <w:p w:rsidR="00106739" w:rsidRPr="00436249" w:rsidRDefault="00BE19D4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Виконавчий комітет Броварської міської ради</w:t>
            </w:r>
            <w:r w:rsidR="002E2B2B" w:rsidRPr="00436249">
              <w:rPr>
                <w:sz w:val="27"/>
                <w:szCs w:val="27"/>
                <w:lang w:val="uk-UA"/>
              </w:rPr>
              <w:t xml:space="preserve"> Броварського району</w:t>
            </w:r>
            <w:r w:rsidRPr="00436249">
              <w:rPr>
                <w:sz w:val="27"/>
                <w:szCs w:val="27"/>
                <w:lang w:val="uk-UA"/>
              </w:rPr>
              <w:t xml:space="preserve"> Київської області та управління будівництва, житлово-комунального господарства, інфраструктури та транспорту Броварської міської ради</w:t>
            </w:r>
            <w:r w:rsidR="002E2B2B" w:rsidRPr="00436249">
              <w:rPr>
                <w:sz w:val="27"/>
                <w:szCs w:val="27"/>
                <w:lang w:val="uk-UA"/>
              </w:rPr>
              <w:t xml:space="preserve"> Броварського району</w:t>
            </w:r>
            <w:r w:rsidRPr="00436249">
              <w:rPr>
                <w:sz w:val="27"/>
                <w:szCs w:val="27"/>
                <w:lang w:val="uk-UA"/>
              </w:rPr>
              <w:t xml:space="preserve"> Київської області.</w:t>
            </w:r>
          </w:p>
        </w:tc>
      </w:tr>
      <w:tr w:rsidR="00C20199" w:rsidRPr="00E54467" w:rsidTr="00C20199">
        <w:trPr>
          <w:trHeight w:val="464"/>
        </w:trPr>
        <w:tc>
          <w:tcPr>
            <w:tcW w:w="633" w:type="dxa"/>
          </w:tcPr>
          <w:p w:rsidR="00C20199" w:rsidRPr="00436249" w:rsidRDefault="00C2019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3821" w:type="dxa"/>
          </w:tcPr>
          <w:p w:rsidR="00C20199" w:rsidRPr="00436249" w:rsidRDefault="00C20199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Відповідальні виконавці</w:t>
            </w:r>
          </w:p>
        </w:tc>
        <w:tc>
          <w:tcPr>
            <w:tcW w:w="4891" w:type="dxa"/>
          </w:tcPr>
          <w:p w:rsidR="00C20199" w:rsidRPr="00436249" w:rsidRDefault="00C20199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Виконавчий комітет Броварської міської ради Броварського району Київської області та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:rsidR="001203F1" w:rsidRPr="00436249" w:rsidTr="00C20199">
        <w:trPr>
          <w:trHeight w:val="979"/>
        </w:trPr>
        <w:tc>
          <w:tcPr>
            <w:tcW w:w="633" w:type="dxa"/>
          </w:tcPr>
          <w:p w:rsidR="001203F1" w:rsidRPr="00436249" w:rsidRDefault="0010673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5</w:t>
            </w:r>
            <w:r w:rsidR="001203F1" w:rsidRPr="00436249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21" w:type="dxa"/>
          </w:tcPr>
          <w:p w:rsidR="001203F1" w:rsidRPr="00436249" w:rsidRDefault="001203F1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Учасники Програми</w:t>
            </w:r>
          </w:p>
        </w:tc>
        <w:tc>
          <w:tcPr>
            <w:tcW w:w="4891" w:type="dxa"/>
          </w:tcPr>
          <w:p w:rsidR="001203F1" w:rsidRPr="00436249" w:rsidRDefault="00BE19D4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П</w:t>
            </w:r>
            <w:r w:rsidR="001203F1" w:rsidRPr="00436249">
              <w:rPr>
                <w:sz w:val="27"/>
                <w:szCs w:val="27"/>
                <w:lang w:val="uk-UA"/>
              </w:rPr>
              <w:t xml:space="preserve">ідприємства комунальної власності </w:t>
            </w:r>
            <w:r w:rsidR="00061ED9" w:rsidRPr="00436249">
              <w:rPr>
                <w:sz w:val="27"/>
                <w:szCs w:val="27"/>
                <w:lang w:val="uk-UA"/>
              </w:rPr>
              <w:t>Броварської міської територіальної громади</w:t>
            </w:r>
          </w:p>
        </w:tc>
      </w:tr>
      <w:tr w:rsidR="001203F1" w:rsidRPr="00436249" w:rsidTr="00C20199">
        <w:trPr>
          <w:trHeight w:val="554"/>
        </w:trPr>
        <w:tc>
          <w:tcPr>
            <w:tcW w:w="633" w:type="dxa"/>
          </w:tcPr>
          <w:p w:rsidR="001203F1" w:rsidRPr="00436249" w:rsidRDefault="0010673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6</w:t>
            </w:r>
            <w:r w:rsidR="001203F1" w:rsidRPr="00436249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21" w:type="dxa"/>
          </w:tcPr>
          <w:p w:rsidR="001203F1" w:rsidRPr="00436249" w:rsidRDefault="001203F1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Терміни реалізації програми</w:t>
            </w:r>
          </w:p>
        </w:tc>
        <w:tc>
          <w:tcPr>
            <w:tcW w:w="4891" w:type="dxa"/>
          </w:tcPr>
          <w:p w:rsidR="001203F1" w:rsidRPr="00436249" w:rsidRDefault="001203F1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20</w:t>
            </w:r>
            <w:r w:rsidR="00C20199" w:rsidRPr="00436249">
              <w:rPr>
                <w:sz w:val="27"/>
                <w:szCs w:val="27"/>
                <w:lang w:val="uk-UA"/>
              </w:rPr>
              <w:t>21</w:t>
            </w:r>
            <w:r w:rsidRPr="00436249">
              <w:rPr>
                <w:sz w:val="27"/>
                <w:szCs w:val="27"/>
                <w:lang w:val="uk-UA"/>
              </w:rPr>
              <w:t xml:space="preserve"> рік</w:t>
            </w:r>
          </w:p>
        </w:tc>
      </w:tr>
      <w:tr w:rsidR="001203F1" w:rsidRPr="00436249" w:rsidTr="00C20199">
        <w:tc>
          <w:tcPr>
            <w:tcW w:w="633" w:type="dxa"/>
          </w:tcPr>
          <w:p w:rsidR="001203F1" w:rsidRPr="00436249" w:rsidRDefault="0010673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7</w:t>
            </w:r>
            <w:r w:rsidR="001203F1" w:rsidRPr="00436249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21" w:type="dxa"/>
          </w:tcPr>
          <w:p w:rsidR="001203F1" w:rsidRPr="00436249" w:rsidRDefault="001203F1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Кошти, задіяні на виконання Програми</w:t>
            </w:r>
          </w:p>
        </w:tc>
        <w:tc>
          <w:tcPr>
            <w:tcW w:w="4891" w:type="dxa"/>
          </w:tcPr>
          <w:p w:rsidR="001203F1" w:rsidRPr="00F51632" w:rsidRDefault="00BE19D4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 w:rsidRPr="00F51632">
              <w:rPr>
                <w:sz w:val="27"/>
                <w:szCs w:val="27"/>
                <w:lang w:val="uk-UA"/>
              </w:rPr>
              <w:t>Б</w:t>
            </w:r>
            <w:r w:rsidR="001203F1" w:rsidRPr="00F51632">
              <w:rPr>
                <w:sz w:val="27"/>
                <w:szCs w:val="27"/>
                <w:lang w:val="uk-UA"/>
              </w:rPr>
              <w:t>юджет</w:t>
            </w:r>
            <w:r w:rsidR="00AA1795" w:rsidRPr="00F51632">
              <w:rPr>
                <w:sz w:val="27"/>
                <w:szCs w:val="27"/>
                <w:lang w:val="uk-UA"/>
              </w:rPr>
              <w:t xml:space="preserve"> Броварської</w:t>
            </w:r>
            <w:bookmarkStart w:id="0" w:name="_GoBack"/>
            <w:bookmarkEnd w:id="0"/>
            <w:r w:rsidR="00C135BB">
              <w:rPr>
                <w:sz w:val="27"/>
                <w:szCs w:val="27"/>
                <w:lang w:val="uk-UA"/>
              </w:rPr>
              <w:t xml:space="preserve"> </w:t>
            </w:r>
            <w:r w:rsidR="005B2E18" w:rsidRPr="00C135BB">
              <w:rPr>
                <w:sz w:val="27"/>
                <w:szCs w:val="27"/>
                <w:lang w:val="uk-UA"/>
              </w:rPr>
              <w:t>міської</w:t>
            </w:r>
            <w:r w:rsidR="00C135BB">
              <w:rPr>
                <w:sz w:val="27"/>
                <w:szCs w:val="27"/>
                <w:lang w:val="uk-UA"/>
              </w:rPr>
              <w:t xml:space="preserve"> </w:t>
            </w:r>
            <w:r w:rsidR="0054547B" w:rsidRPr="00F51632">
              <w:rPr>
                <w:sz w:val="27"/>
                <w:szCs w:val="27"/>
                <w:lang w:val="uk-UA"/>
              </w:rPr>
              <w:t xml:space="preserve">територіальної </w:t>
            </w:r>
            <w:r w:rsidR="00C20199" w:rsidRPr="00F51632">
              <w:rPr>
                <w:sz w:val="27"/>
                <w:szCs w:val="27"/>
                <w:lang w:val="uk-UA"/>
              </w:rPr>
              <w:t>громади</w:t>
            </w:r>
          </w:p>
        </w:tc>
      </w:tr>
      <w:tr w:rsidR="001203F1" w:rsidRPr="00436249" w:rsidTr="00C20199">
        <w:tc>
          <w:tcPr>
            <w:tcW w:w="633" w:type="dxa"/>
          </w:tcPr>
          <w:p w:rsidR="001203F1" w:rsidRPr="00436249" w:rsidRDefault="00181FB4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8</w:t>
            </w:r>
            <w:r w:rsidR="001203F1" w:rsidRPr="00436249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21" w:type="dxa"/>
          </w:tcPr>
          <w:p w:rsidR="001203F1" w:rsidRPr="00436249" w:rsidRDefault="001203F1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891" w:type="dxa"/>
          </w:tcPr>
          <w:p w:rsidR="001203F1" w:rsidRPr="00F51632" w:rsidRDefault="0045152A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2 213</w:t>
            </w:r>
            <w:r w:rsidR="007F1A1D" w:rsidRPr="00F51632">
              <w:rPr>
                <w:sz w:val="27"/>
                <w:szCs w:val="27"/>
                <w:lang w:val="uk-UA"/>
              </w:rPr>
              <w:t xml:space="preserve">,00 тис. </w:t>
            </w:r>
            <w:r w:rsidR="001203F1" w:rsidRPr="00F51632">
              <w:rPr>
                <w:sz w:val="27"/>
                <w:szCs w:val="27"/>
                <w:lang w:val="uk-UA"/>
              </w:rPr>
              <w:t>грн.</w:t>
            </w:r>
          </w:p>
          <w:p w:rsidR="001203F1" w:rsidRPr="00F51632" w:rsidRDefault="001203F1" w:rsidP="00C135BB">
            <w:pPr>
              <w:pStyle w:val="a3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C135BB" w:rsidRPr="00436249" w:rsidRDefault="00C135BB" w:rsidP="00F75BE3">
      <w:pPr>
        <w:ind w:right="-365"/>
        <w:rPr>
          <w:b/>
          <w:szCs w:val="28"/>
          <w:lang w:val="uk-UA"/>
        </w:rPr>
      </w:pPr>
    </w:p>
    <w:p w:rsidR="004377F7" w:rsidRPr="00436249" w:rsidRDefault="004377F7" w:rsidP="00A734B4">
      <w:pPr>
        <w:ind w:left="-180" w:right="-365" w:firstLine="540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1. Загальні положення</w:t>
      </w:r>
    </w:p>
    <w:p w:rsidR="003942FA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 xml:space="preserve">1.1. Програма фінансової підтримки комунальних підприємств </w:t>
      </w:r>
      <w:r w:rsidR="00061ED9" w:rsidRPr="00436249">
        <w:rPr>
          <w:lang w:val="uk-UA"/>
        </w:rPr>
        <w:t>Броварської міської територіальної громади</w:t>
      </w:r>
      <w:r w:rsidR="00C135BB">
        <w:rPr>
          <w:lang w:val="uk-UA"/>
        </w:rPr>
        <w:t xml:space="preserve"> </w:t>
      </w:r>
      <w:r w:rsidR="00061ED9" w:rsidRPr="00436249">
        <w:rPr>
          <w:lang w:val="uk-UA"/>
        </w:rPr>
        <w:t>(далі – територіальна громада)</w:t>
      </w:r>
      <w:r w:rsidR="00C135BB">
        <w:rPr>
          <w:lang w:val="uk-UA"/>
        </w:rPr>
        <w:t xml:space="preserve"> </w:t>
      </w:r>
      <w:r w:rsidRPr="00436249">
        <w:rPr>
          <w:szCs w:val="28"/>
          <w:lang w:val="uk-UA"/>
        </w:rPr>
        <w:t>на 20</w:t>
      </w:r>
      <w:r w:rsidR="00012D3D" w:rsidRPr="00436249">
        <w:rPr>
          <w:szCs w:val="28"/>
          <w:lang w:val="uk-UA"/>
        </w:rPr>
        <w:t>21</w:t>
      </w:r>
      <w:r w:rsidRPr="00436249">
        <w:rPr>
          <w:szCs w:val="28"/>
          <w:lang w:val="uk-UA"/>
        </w:rPr>
        <w:t xml:space="preserve"> рік(далі - Програма) розроблена з метою забезпечення ефективного використання майна комунальної власності </w:t>
      </w:r>
      <w:r w:rsidR="00061ED9" w:rsidRPr="00436249">
        <w:rPr>
          <w:lang w:val="uk-UA"/>
        </w:rPr>
        <w:t>територіальної громади</w:t>
      </w:r>
      <w:r w:rsidR="001203F1" w:rsidRPr="00436249">
        <w:rPr>
          <w:szCs w:val="28"/>
          <w:lang w:val="uk-UA"/>
        </w:rPr>
        <w:t xml:space="preserve">, </w:t>
      </w:r>
      <w:r w:rsidRPr="00436249">
        <w:rPr>
          <w:szCs w:val="28"/>
          <w:lang w:val="uk-UA"/>
        </w:rPr>
        <w:t xml:space="preserve">шляхом </w:t>
      </w:r>
      <w:r w:rsidRPr="00436249">
        <w:rPr>
          <w:szCs w:val="28"/>
          <w:lang w:val="uk-UA"/>
        </w:rPr>
        <w:lastRenderedPageBreak/>
        <w:t>досягнення стабільної та беззбиткової дія</w:t>
      </w:r>
      <w:r w:rsidR="003942FA" w:rsidRPr="00436249">
        <w:rPr>
          <w:szCs w:val="28"/>
          <w:lang w:val="uk-UA"/>
        </w:rPr>
        <w:t>льності комунальних підприємств</w:t>
      </w:r>
      <w:r w:rsidR="00C135BB">
        <w:rPr>
          <w:szCs w:val="28"/>
          <w:lang w:val="uk-UA"/>
        </w:rPr>
        <w:t xml:space="preserve"> </w:t>
      </w:r>
      <w:r w:rsidR="00061ED9" w:rsidRPr="00436249">
        <w:rPr>
          <w:lang w:val="uk-UA"/>
        </w:rPr>
        <w:t>територіальної громади</w:t>
      </w:r>
      <w:r w:rsidR="003942FA" w:rsidRPr="00436249">
        <w:rPr>
          <w:szCs w:val="28"/>
          <w:lang w:val="uk-UA"/>
        </w:rPr>
        <w:t xml:space="preserve">. 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фінансово-господарського діяльності, покращенню стану розрахунків, більш ефективному використанню майна комунальної власності</w:t>
      </w:r>
      <w:r w:rsidR="00427EF0" w:rsidRPr="00436249">
        <w:rPr>
          <w:szCs w:val="28"/>
          <w:lang w:val="uk-UA"/>
        </w:rPr>
        <w:t xml:space="preserve"> територіальної</w:t>
      </w:r>
      <w:r w:rsidR="00C135BB">
        <w:rPr>
          <w:szCs w:val="28"/>
          <w:lang w:val="uk-UA"/>
        </w:rPr>
        <w:t xml:space="preserve"> </w:t>
      </w:r>
      <w:r w:rsidR="00012D3D" w:rsidRPr="00436249">
        <w:rPr>
          <w:szCs w:val="28"/>
          <w:lang w:val="uk-UA"/>
        </w:rPr>
        <w:t>громади</w:t>
      </w:r>
      <w:r w:rsidRPr="00436249">
        <w:rPr>
          <w:szCs w:val="28"/>
          <w:lang w:val="uk-UA"/>
        </w:rPr>
        <w:t>, оновленню виробничих потужностей, технічної бази, забезпеченню повного і своєчасного внесення платежів до бюджету.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1.2. Програма розповсюджується на суб'єкти господарювання комунальної форми власності, які здійснюють господарську діяльність для задоволення потреб територіальної громади, засновником яких є Броварська міська рада</w:t>
      </w:r>
      <w:r w:rsidR="00CB3A6A" w:rsidRPr="00436249">
        <w:rPr>
          <w:szCs w:val="28"/>
          <w:lang w:val="uk-UA"/>
        </w:rPr>
        <w:t xml:space="preserve"> Броварського району</w:t>
      </w:r>
      <w:r w:rsidR="003942FA" w:rsidRPr="00436249">
        <w:rPr>
          <w:szCs w:val="28"/>
          <w:lang w:val="uk-UA"/>
        </w:rPr>
        <w:t xml:space="preserve"> Київської області</w:t>
      </w:r>
      <w:r w:rsidRPr="00436249">
        <w:rPr>
          <w:szCs w:val="28"/>
          <w:lang w:val="uk-UA"/>
        </w:rPr>
        <w:t>.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1.3. Програма не поширюється на суб'єкти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господарювання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засновані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Броварською міською радою</w:t>
      </w:r>
      <w:r w:rsidR="0079535C" w:rsidRPr="00436249">
        <w:rPr>
          <w:szCs w:val="28"/>
          <w:lang w:val="uk-UA"/>
        </w:rPr>
        <w:t xml:space="preserve"> Броварського району</w:t>
      </w:r>
      <w:r w:rsidR="003942FA" w:rsidRPr="00436249">
        <w:rPr>
          <w:szCs w:val="28"/>
          <w:lang w:val="uk-UA"/>
        </w:rPr>
        <w:t xml:space="preserve"> Київської області</w:t>
      </w:r>
      <w:r w:rsidRPr="00436249">
        <w:rPr>
          <w:szCs w:val="28"/>
          <w:lang w:val="uk-UA"/>
        </w:rPr>
        <w:t>, щодо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яких порушено справу про банкрутство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або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які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визнані в установленому порядку банкрутами.</w:t>
      </w:r>
    </w:p>
    <w:p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:rsidR="004377F7" w:rsidRPr="00436249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2.Мета Програми</w:t>
      </w:r>
    </w:p>
    <w:p w:rsidR="00436249" w:rsidRPr="00436249" w:rsidRDefault="00436249" w:rsidP="00436249">
      <w:pPr>
        <w:ind w:firstLine="709"/>
        <w:rPr>
          <w:rFonts w:eastAsia="Calibri" w:cs="Times New Roman"/>
          <w:szCs w:val="28"/>
          <w:lang w:val="uk-UA"/>
        </w:rPr>
      </w:pPr>
      <w:r w:rsidRPr="00436249">
        <w:rPr>
          <w:rFonts w:eastAsia="Calibri" w:cs="Times New Roman"/>
          <w:szCs w:val="28"/>
          <w:lang w:val="uk-UA"/>
        </w:rPr>
        <w:t xml:space="preserve">2.1. Збереження дієздатності комунальних підприємств територіальної громади та їх трудового потенціалу, забезпечення стабільної роботи комунальних підприємств згідно з їх функціональними призначеннями, виконання зобов’язань з виплати заробітної плати працівникам, забезпечення раціонального використання і збереження комунального майна, зміцнення матеріально-технічної бази комунальних підприємств для забезпечення якісного утримання та поточного ремонту об’єктів благоустрою </w:t>
      </w:r>
      <w:r w:rsidRPr="00436249">
        <w:rPr>
          <w:rFonts w:eastAsia="Calibri" w:cs="Times New Roman"/>
          <w:lang w:val="uk-UA"/>
        </w:rPr>
        <w:t>територіальної громади</w:t>
      </w:r>
      <w:r w:rsidRPr="00436249">
        <w:rPr>
          <w:rFonts w:eastAsia="Calibri" w:cs="Times New Roman"/>
          <w:szCs w:val="28"/>
          <w:lang w:val="uk-UA"/>
        </w:rPr>
        <w:t xml:space="preserve">, оздоровлення фінансового стану підприємств за рахунок надання фінансової підтримки, поліпшення екологічного і санітарного стану та естетичного вигляду </w:t>
      </w:r>
      <w:r w:rsidRPr="00436249">
        <w:rPr>
          <w:rFonts w:eastAsia="Calibri" w:cs="Times New Roman"/>
          <w:lang w:val="uk-UA"/>
        </w:rPr>
        <w:t>територіальної громади</w:t>
      </w:r>
      <w:r w:rsidRPr="00436249">
        <w:rPr>
          <w:rFonts w:eastAsia="Calibri" w:cs="Times New Roman"/>
          <w:szCs w:val="28"/>
          <w:lang w:val="uk-UA"/>
        </w:rPr>
        <w:t xml:space="preserve">, вирішення окремих питань господарської діяльності комунальних підприємств шляхом </w:t>
      </w:r>
      <w:r w:rsidR="0045152A" w:rsidRPr="009C5A48">
        <w:rPr>
          <w:rFonts w:eastAsia="Calibri" w:cs="Times New Roman"/>
          <w:szCs w:val="28"/>
          <w:lang w:val="uk-UA"/>
        </w:rPr>
        <w:t>перерахування коштів на рахунок, відкритий в установі державного</w:t>
      </w:r>
      <w:r w:rsidR="0045152A">
        <w:rPr>
          <w:rFonts w:eastAsia="Calibri" w:cs="Times New Roman"/>
          <w:szCs w:val="28"/>
          <w:lang w:val="uk-UA"/>
        </w:rPr>
        <w:t xml:space="preserve"> </w:t>
      </w:r>
      <w:r w:rsidR="0045152A" w:rsidRPr="009C5A48">
        <w:rPr>
          <w:rFonts w:eastAsia="Calibri" w:cs="Times New Roman"/>
          <w:szCs w:val="28"/>
          <w:lang w:val="uk-UA"/>
        </w:rPr>
        <w:t>казначейства</w:t>
      </w:r>
      <w:r w:rsidRPr="00436249">
        <w:rPr>
          <w:rFonts w:eastAsia="Calibri" w:cs="Times New Roman"/>
          <w:szCs w:val="28"/>
          <w:lang w:val="uk-UA"/>
        </w:rPr>
        <w:t>.</w:t>
      </w:r>
    </w:p>
    <w:p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:rsidR="005971C8" w:rsidRPr="00436249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3.Основні завдання</w:t>
      </w:r>
      <w:r w:rsidR="0045152A">
        <w:rPr>
          <w:b/>
          <w:szCs w:val="28"/>
          <w:lang w:val="uk-UA"/>
        </w:rPr>
        <w:t xml:space="preserve"> </w:t>
      </w:r>
      <w:r w:rsidRPr="00436249">
        <w:rPr>
          <w:b/>
          <w:szCs w:val="28"/>
          <w:lang w:val="uk-UA"/>
        </w:rPr>
        <w:t>Програми</w:t>
      </w:r>
    </w:p>
    <w:p w:rsidR="00436249" w:rsidRPr="00436249" w:rsidRDefault="00436249" w:rsidP="00436249">
      <w:pPr>
        <w:rPr>
          <w:rFonts w:eastAsia="Calibri" w:cs="Times New Roman"/>
          <w:szCs w:val="28"/>
          <w:lang w:val="uk-UA" w:eastAsia="uk-UA"/>
        </w:rPr>
      </w:pPr>
      <w:r w:rsidRPr="00436249">
        <w:rPr>
          <w:rFonts w:eastAsia="Calibri" w:cs="Times New Roman"/>
          <w:szCs w:val="28"/>
          <w:lang w:val="uk-UA" w:eastAsia="uk-UA"/>
        </w:rPr>
        <w:t>Метою Програми є сприяння у здійсненні</w:t>
      </w:r>
      <w:r w:rsidRPr="00436249">
        <w:rPr>
          <w:rFonts w:eastAsia="Calibri" w:cs="Times New Roman"/>
          <w:spacing w:val="4"/>
          <w:szCs w:val="28"/>
          <w:lang w:val="uk-UA" w:eastAsia="uk-UA"/>
        </w:rPr>
        <w:t xml:space="preserve"> стабільної </w:t>
      </w:r>
      <w:r w:rsidRPr="00436249">
        <w:rPr>
          <w:rFonts w:eastAsia="Calibri" w:cs="Times New Roman"/>
          <w:szCs w:val="28"/>
          <w:lang w:val="uk-UA" w:eastAsia="uk-UA"/>
        </w:rPr>
        <w:t>діяльності комунальних підприємств та збереження комунального майна шляхом надання фінансової підтримки комунальним підприємствам та спрямована на виконання наступних завдань: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1. Забезпечення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статутної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діяльності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комунальних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підприємств.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2.Забезпечення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раціонального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використання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і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збереження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комунального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майна,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розвиток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pacing w:val="-11"/>
          <w:szCs w:val="28"/>
          <w:lang w:val="uk-UA" w:eastAsia="uk-UA"/>
        </w:rPr>
        <w:t>та зміцнення</w:t>
      </w:r>
      <w:r w:rsidR="00C135BB">
        <w:rPr>
          <w:spacing w:val="-11"/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матеріальної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pacing w:val="-2"/>
          <w:szCs w:val="28"/>
          <w:lang w:val="uk-UA" w:eastAsia="uk-UA"/>
        </w:rPr>
        <w:t>бази</w:t>
      </w:r>
      <w:r w:rsidR="00C135BB">
        <w:rPr>
          <w:spacing w:val="-2"/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підприємств.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3. Забезпечення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проведення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поточного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ремонту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об’єктів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власності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територіальної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громади.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4. Сприяння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створенню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належних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умов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для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здійснення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комунальними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підприємствами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своєї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поточної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діяльності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по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виробництву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і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наданню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якісних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послуг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споживачам.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5.Проведення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інвестиційної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діяльності,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направленої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на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переоснащення,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виробничих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потужностей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підприємств.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6. Запобігання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банкрутства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комунальних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підприємств.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lastRenderedPageBreak/>
        <w:tab/>
        <w:t>7. Погашення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заборгованості по виплаті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заробітної плати з нарахуваннями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працівникам.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8. Погашення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заборгованості по податках та інших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обов’язкових платежах.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9.Проведення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вчасних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 xml:space="preserve">розрахунків за </w:t>
      </w:r>
      <w:r w:rsidRPr="00436249">
        <w:rPr>
          <w:szCs w:val="28"/>
          <w:lang w:val="uk-UA"/>
        </w:rPr>
        <w:t>спожиті</w:t>
      </w:r>
      <w:r w:rsidR="00C135BB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енергоносії.</w:t>
      </w:r>
    </w:p>
    <w:p w:rsidR="00297775" w:rsidRPr="00436249" w:rsidRDefault="00297775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tab/>
        <w:t>10. Подолання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наслідків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стихії, надзвичайних</w:t>
      </w:r>
      <w:r w:rsidR="00C135BB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ситуацій</w:t>
      </w:r>
      <w:r w:rsidR="00F235C1">
        <w:rPr>
          <w:szCs w:val="28"/>
          <w:lang w:val="uk-UA" w:eastAsia="uk-UA"/>
        </w:rPr>
        <w:t xml:space="preserve">, </w:t>
      </w:r>
      <w:r w:rsidRPr="00436249">
        <w:rPr>
          <w:szCs w:val="28"/>
          <w:lang w:val="uk-UA" w:eastAsia="uk-UA"/>
        </w:rPr>
        <w:t>аварій</w:t>
      </w:r>
      <w:r w:rsidR="003671C7">
        <w:rPr>
          <w:szCs w:val="28"/>
          <w:lang w:val="uk-UA" w:eastAsia="uk-UA"/>
        </w:rPr>
        <w:t xml:space="preserve">, </w:t>
      </w:r>
      <w:r w:rsidR="003671C7" w:rsidRPr="00C135BB">
        <w:rPr>
          <w:szCs w:val="28"/>
          <w:lang w:val="uk-UA" w:eastAsia="uk-UA"/>
        </w:rPr>
        <w:t>снігопадів та затоплення після зливових дощів</w:t>
      </w:r>
      <w:r w:rsidRPr="00C135BB">
        <w:rPr>
          <w:szCs w:val="28"/>
          <w:lang w:val="uk-UA" w:eastAsia="uk-UA"/>
        </w:rPr>
        <w:t>.</w:t>
      </w:r>
    </w:p>
    <w:p w:rsidR="00297775" w:rsidRPr="00436249" w:rsidRDefault="00297775" w:rsidP="00A734B4">
      <w:pPr>
        <w:rPr>
          <w:szCs w:val="28"/>
          <w:lang w:val="uk-UA" w:eastAsia="ru-RU"/>
        </w:rPr>
      </w:pPr>
      <w:r w:rsidRPr="00436249">
        <w:rPr>
          <w:szCs w:val="28"/>
          <w:lang w:val="uk-UA" w:eastAsia="ru-RU"/>
        </w:rPr>
        <w:tab/>
        <w:t>11. Проведення</w:t>
      </w:r>
      <w:r w:rsidR="00C135BB">
        <w:rPr>
          <w:szCs w:val="28"/>
          <w:lang w:val="uk-UA" w:eastAsia="ru-RU"/>
        </w:rPr>
        <w:t xml:space="preserve"> </w:t>
      </w:r>
      <w:r w:rsidRPr="00436249">
        <w:rPr>
          <w:szCs w:val="28"/>
          <w:lang w:val="uk-UA" w:eastAsia="ru-RU"/>
        </w:rPr>
        <w:t>інших</w:t>
      </w:r>
      <w:r w:rsidR="00C135BB">
        <w:rPr>
          <w:szCs w:val="28"/>
          <w:lang w:val="uk-UA" w:eastAsia="ru-RU"/>
        </w:rPr>
        <w:t xml:space="preserve"> </w:t>
      </w:r>
      <w:r w:rsidRPr="00436249">
        <w:rPr>
          <w:szCs w:val="28"/>
          <w:lang w:val="uk-UA" w:eastAsia="ru-RU"/>
        </w:rPr>
        <w:t>видатків</w:t>
      </w:r>
      <w:r w:rsidR="0045152A">
        <w:rPr>
          <w:szCs w:val="28"/>
          <w:lang w:val="uk-UA" w:eastAsia="ru-RU"/>
        </w:rPr>
        <w:t xml:space="preserve"> не заборонених законом</w:t>
      </w:r>
      <w:r w:rsidRPr="00436249">
        <w:rPr>
          <w:szCs w:val="28"/>
          <w:lang w:val="uk-UA" w:eastAsia="ru-RU"/>
        </w:rPr>
        <w:t>.</w:t>
      </w:r>
    </w:p>
    <w:p w:rsidR="00BE19D4" w:rsidRPr="00436249" w:rsidRDefault="00BE19D4" w:rsidP="00A734B4">
      <w:pPr>
        <w:pStyle w:val="2"/>
        <w:ind w:firstLine="709"/>
        <w:jc w:val="center"/>
        <w:rPr>
          <w:b/>
          <w:sz w:val="28"/>
          <w:szCs w:val="28"/>
        </w:rPr>
      </w:pPr>
    </w:p>
    <w:p w:rsidR="004377F7" w:rsidRPr="00436249" w:rsidRDefault="004377F7" w:rsidP="00A734B4">
      <w:pPr>
        <w:pStyle w:val="2"/>
        <w:ind w:firstLine="709"/>
        <w:jc w:val="center"/>
        <w:rPr>
          <w:b/>
          <w:sz w:val="28"/>
          <w:szCs w:val="28"/>
        </w:rPr>
      </w:pPr>
      <w:r w:rsidRPr="00436249">
        <w:rPr>
          <w:b/>
          <w:sz w:val="28"/>
          <w:szCs w:val="28"/>
        </w:rPr>
        <w:t>4. Джерела та обсяги фінансування Програми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4.1. Обсяги фінансування Програми:</w:t>
      </w:r>
    </w:p>
    <w:tbl>
      <w:tblPr>
        <w:tblStyle w:val="a6"/>
        <w:tblW w:w="0" w:type="auto"/>
        <w:tblLook w:val="04A0"/>
      </w:tblPr>
      <w:tblGrid>
        <w:gridCol w:w="1232"/>
        <w:gridCol w:w="4209"/>
        <w:gridCol w:w="3904"/>
      </w:tblGrid>
      <w:tr w:rsidR="005971C8" w:rsidRPr="00436249" w:rsidTr="00D65AF1">
        <w:tc>
          <w:tcPr>
            <w:tcW w:w="1232" w:type="dxa"/>
          </w:tcPr>
          <w:p w:rsidR="005971C8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№</w:t>
            </w:r>
          </w:p>
          <w:p w:rsidR="005971C8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09" w:type="dxa"/>
          </w:tcPr>
          <w:p w:rsidR="005971C8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Назва</w:t>
            </w:r>
          </w:p>
          <w:p w:rsidR="005971C8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3904" w:type="dxa"/>
          </w:tcPr>
          <w:p w:rsidR="005971C8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Обсяг коштівна виконання</w:t>
            </w:r>
          </w:p>
          <w:p w:rsidR="00C1213B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Програми на20</w:t>
            </w:r>
            <w:r w:rsidR="007A4DFC" w:rsidRPr="00436249">
              <w:rPr>
                <w:b/>
                <w:sz w:val="28"/>
                <w:szCs w:val="28"/>
              </w:rPr>
              <w:t>21</w:t>
            </w:r>
            <w:r w:rsidRPr="00436249">
              <w:rPr>
                <w:b/>
                <w:sz w:val="28"/>
                <w:szCs w:val="28"/>
              </w:rPr>
              <w:t xml:space="preserve"> рік</w:t>
            </w:r>
          </w:p>
          <w:p w:rsidR="005971C8" w:rsidRPr="00436249" w:rsidRDefault="005971C8" w:rsidP="00A734B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(тис. грн.)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1.</w:t>
            </w:r>
          </w:p>
        </w:tc>
        <w:tc>
          <w:tcPr>
            <w:tcW w:w="4209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КП «ЖЕК-1»</w:t>
            </w:r>
          </w:p>
        </w:tc>
        <w:tc>
          <w:tcPr>
            <w:tcW w:w="3904" w:type="dxa"/>
          </w:tcPr>
          <w:p w:rsidR="0045152A" w:rsidRPr="00436249" w:rsidRDefault="0045152A" w:rsidP="00E17DE1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100,00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2.</w:t>
            </w:r>
          </w:p>
        </w:tc>
        <w:tc>
          <w:tcPr>
            <w:tcW w:w="4209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КП «ЖЕК-2»</w:t>
            </w:r>
          </w:p>
        </w:tc>
        <w:tc>
          <w:tcPr>
            <w:tcW w:w="3904" w:type="dxa"/>
          </w:tcPr>
          <w:p w:rsidR="0045152A" w:rsidRPr="00436249" w:rsidRDefault="0045152A" w:rsidP="00E17DE1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100,00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3.</w:t>
            </w:r>
          </w:p>
        </w:tc>
        <w:tc>
          <w:tcPr>
            <w:tcW w:w="4209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КП «ЖЕК-3»</w:t>
            </w:r>
          </w:p>
        </w:tc>
        <w:tc>
          <w:tcPr>
            <w:tcW w:w="3904" w:type="dxa"/>
          </w:tcPr>
          <w:p w:rsidR="0045152A" w:rsidRPr="00436249" w:rsidRDefault="0045152A" w:rsidP="00E17DE1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100,00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4.</w:t>
            </w:r>
          </w:p>
        </w:tc>
        <w:tc>
          <w:tcPr>
            <w:tcW w:w="4209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КП «ЖЕК-4»</w:t>
            </w:r>
          </w:p>
        </w:tc>
        <w:tc>
          <w:tcPr>
            <w:tcW w:w="3904" w:type="dxa"/>
          </w:tcPr>
          <w:p w:rsidR="0045152A" w:rsidRPr="00436249" w:rsidRDefault="0045152A" w:rsidP="00E17DE1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100,00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5.</w:t>
            </w:r>
          </w:p>
        </w:tc>
        <w:tc>
          <w:tcPr>
            <w:tcW w:w="4209" w:type="dxa"/>
          </w:tcPr>
          <w:p w:rsidR="0045152A" w:rsidRPr="00436249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КП «ЖЕК-5»</w:t>
            </w:r>
          </w:p>
        </w:tc>
        <w:tc>
          <w:tcPr>
            <w:tcW w:w="3904" w:type="dxa"/>
          </w:tcPr>
          <w:p w:rsidR="0045152A" w:rsidRPr="00436249" w:rsidRDefault="0045152A" w:rsidP="00E17DE1">
            <w:pPr>
              <w:pStyle w:val="2"/>
              <w:jc w:val="both"/>
              <w:rPr>
                <w:sz w:val="28"/>
                <w:szCs w:val="28"/>
              </w:rPr>
            </w:pPr>
            <w:r w:rsidRPr="00436249">
              <w:rPr>
                <w:sz w:val="28"/>
                <w:szCs w:val="28"/>
              </w:rPr>
              <w:t>100,00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C135BB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C135BB">
              <w:rPr>
                <w:sz w:val="28"/>
                <w:szCs w:val="28"/>
              </w:rPr>
              <w:t>6.</w:t>
            </w:r>
          </w:p>
        </w:tc>
        <w:tc>
          <w:tcPr>
            <w:tcW w:w="4209" w:type="dxa"/>
          </w:tcPr>
          <w:p w:rsidR="0045152A" w:rsidRPr="00C135BB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C135BB">
              <w:rPr>
                <w:sz w:val="28"/>
                <w:szCs w:val="28"/>
              </w:rPr>
              <w:t>КП «Добробут»</w:t>
            </w:r>
          </w:p>
        </w:tc>
        <w:tc>
          <w:tcPr>
            <w:tcW w:w="3904" w:type="dxa"/>
          </w:tcPr>
          <w:p w:rsidR="0045152A" w:rsidRPr="009C5A48" w:rsidRDefault="0045152A" w:rsidP="00E17DE1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C135BB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C135BB">
              <w:rPr>
                <w:sz w:val="28"/>
                <w:szCs w:val="28"/>
              </w:rPr>
              <w:t>7.</w:t>
            </w:r>
          </w:p>
        </w:tc>
        <w:tc>
          <w:tcPr>
            <w:tcW w:w="4209" w:type="dxa"/>
          </w:tcPr>
          <w:p w:rsidR="0045152A" w:rsidRPr="00C135BB" w:rsidRDefault="0045152A" w:rsidP="00A734B4">
            <w:pPr>
              <w:pStyle w:val="2"/>
              <w:jc w:val="both"/>
              <w:rPr>
                <w:sz w:val="28"/>
                <w:szCs w:val="28"/>
              </w:rPr>
            </w:pPr>
            <w:r w:rsidRPr="00C135BB">
              <w:rPr>
                <w:sz w:val="28"/>
                <w:szCs w:val="28"/>
              </w:rPr>
              <w:t>КП «Сервіс»</w:t>
            </w:r>
          </w:p>
        </w:tc>
        <w:tc>
          <w:tcPr>
            <w:tcW w:w="3904" w:type="dxa"/>
          </w:tcPr>
          <w:p w:rsidR="0045152A" w:rsidRPr="009C5A48" w:rsidRDefault="0045152A" w:rsidP="00E17DE1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1533,00</w:t>
            </w:r>
          </w:p>
        </w:tc>
      </w:tr>
      <w:tr w:rsidR="0045152A" w:rsidRPr="00436249" w:rsidTr="00D65AF1">
        <w:tc>
          <w:tcPr>
            <w:tcW w:w="1232" w:type="dxa"/>
          </w:tcPr>
          <w:p w:rsidR="0045152A" w:rsidRPr="00436249" w:rsidRDefault="0045152A" w:rsidP="00A734B4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436249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09" w:type="dxa"/>
          </w:tcPr>
          <w:p w:rsidR="0045152A" w:rsidRPr="00436249" w:rsidRDefault="0045152A" w:rsidP="00A734B4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45152A" w:rsidRPr="00436249" w:rsidRDefault="0045152A" w:rsidP="00E17DE1">
            <w:pPr>
              <w:pStyle w:val="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2213,00</w:t>
            </w:r>
          </w:p>
        </w:tc>
      </w:tr>
    </w:tbl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4.2. Протягом року обсяг фінансування Програми за рахунок коштів бюджету</w:t>
      </w:r>
      <w:r w:rsidR="001E2526" w:rsidRPr="00436249">
        <w:rPr>
          <w:sz w:val="28"/>
          <w:szCs w:val="28"/>
        </w:rPr>
        <w:t xml:space="preserve"> територіальної громади</w:t>
      </w:r>
      <w:r w:rsidRPr="00436249">
        <w:rPr>
          <w:sz w:val="28"/>
          <w:szCs w:val="28"/>
        </w:rPr>
        <w:t xml:space="preserve"> може змінюватись відповідно до рішення </w:t>
      </w:r>
      <w:r w:rsidR="007444B1" w:rsidRPr="00436249">
        <w:rPr>
          <w:sz w:val="28"/>
          <w:szCs w:val="28"/>
        </w:rPr>
        <w:t xml:space="preserve">Броварської </w:t>
      </w:r>
      <w:r w:rsidRPr="00436249">
        <w:rPr>
          <w:sz w:val="28"/>
          <w:szCs w:val="28"/>
        </w:rPr>
        <w:t>міської ради</w:t>
      </w:r>
      <w:r w:rsidR="001E2526" w:rsidRPr="00436249">
        <w:rPr>
          <w:sz w:val="28"/>
          <w:szCs w:val="28"/>
        </w:rPr>
        <w:t xml:space="preserve"> Броварського району</w:t>
      </w:r>
      <w:r w:rsidR="00C135BB">
        <w:rPr>
          <w:sz w:val="28"/>
          <w:szCs w:val="28"/>
        </w:rPr>
        <w:t xml:space="preserve"> </w:t>
      </w:r>
      <w:r w:rsidR="007444B1" w:rsidRPr="00436249">
        <w:rPr>
          <w:sz w:val="28"/>
          <w:szCs w:val="28"/>
        </w:rPr>
        <w:t xml:space="preserve">Київської області </w:t>
      </w:r>
      <w:r w:rsidRPr="00436249">
        <w:rPr>
          <w:sz w:val="28"/>
          <w:szCs w:val="28"/>
        </w:rPr>
        <w:t xml:space="preserve">про внесення змін до бюджету </w:t>
      </w:r>
      <w:r w:rsidR="001E2526" w:rsidRPr="00436249">
        <w:rPr>
          <w:sz w:val="28"/>
          <w:szCs w:val="28"/>
        </w:rPr>
        <w:t>територіальної громади</w:t>
      </w:r>
      <w:r w:rsidRPr="00436249">
        <w:rPr>
          <w:sz w:val="28"/>
          <w:szCs w:val="28"/>
        </w:rPr>
        <w:t xml:space="preserve"> на відповідний рік, виходячи з наявного фінансування ресурсу бюджету </w:t>
      </w:r>
      <w:r w:rsidR="001E2526" w:rsidRPr="00436249">
        <w:rPr>
          <w:sz w:val="28"/>
          <w:szCs w:val="28"/>
        </w:rPr>
        <w:t>територіальної громади</w:t>
      </w:r>
      <w:r w:rsidRPr="00436249">
        <w:rPr>
          <w:sz w:val="28"/>
          <w:szCs w:val="28"/>
        </w:rPr>
        <w:t>.</w:t>
      </w:r>
    </w:p>
    <w:p w:rsidR="004377F7" w:rsidRPr="00436249" w:rsidRDefault="004377F7" w:rsidP="00A734B4">
      <w:pPr>
        <w:pStyle w:val="a7"/>
        <w:spacing w:after="0"/>
        <w:ind w:left="0" w:firstLine="709"/>
        <w:rPr>
          <w:szCs w:val="28"/>
          <w:lang w:val="uk-UA"/>
        </w:rPr>
      </w:pPr>
      <w:r w:rsidRPr="00436249">
        <w:rPr>
          <w:szCs w:val="28"/>
          <w:lang w:val="uk-UA"/>
        </w:rPr>
        <w:t>4.3. Виконавцями Програми визнати: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 головним розпорядником бюджетних коштів –</w:t>
      </w:r>
      <w:r w:rsidR="00C135BB">
        <w:rPr>
          <w:sz w:val="28"/>
          <w:szCs w:val="28"/>
        </w:rPr>
        <w:t xml:space="preserve"> </w:t>
      </w:r>
      <w:r w:rsidRPr="00436249">
        <w:rPr>
          <w:sz w:val="28"/>
          <w:szCs w:val="28"/>
        </w:rPr>
        <w:t>виконавчий комітет</w:t>
      </w:r>
      <w:r w:rsidR="00C135BB">
        <w:rPr>
          <w:sz w:val="28"/>
          <w:szCs w:val="28"/>
        </w:rPr>
        <w:t xml:space="preserve"> </w:t>
      </w:r>
      <w:r w:rsidRPr="00436249">
        <w:rPr>
          <w:sz w:val="28"/>
          <w:szCs w:val="28"/>
        </w:rPr>
        <w:t>Броварської міської ради</w:t>
      </w:r>
      <w:r w:rsidR="00EB2EDD" w:rsidRPr="00436249">
        <w:rPr>
          <w:sz w:val="28"/>
          <w:szCs w:val="28"/>
        </w:rPr>
        <w:t xml:space="preserve"> Броварського району</w:t>
      </w:r>
      <w:r w:rsidR="00C135BB">
        <w:rPr>
          <w:sz w:val="28"/>
          <w:szCs w:val="28"/>
        </w:rPr>
        <w:t xml:space="preserve"> </w:t>
      </w:r>
      <w:r w:rsidR="007444B1" w:rsidRPr="00436249">
        <w:rPr>
          <w:sz w:val="28"/>
          <w:szCs w:val="28"/>
        </w:rPr>
        <w:t xml:space="preserve">Київської області </w:t>
      </w:r>
      <w:r w:rsidRPr="00436249">
        <w:rPr>
          <w:sz w:val="28"/>
          <w:szCs w:val="28"/>
        </w:rPr>
        <w:t xml:space="preserve">та </w:t>
      </w:r>
      <w:r w:rsidR="007444B1" w:rsidRPr="00436249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</w:t>
      </w:r>
      <w:r w:rsidR="00950852" w:rsidRPr="00436249">
        <w:rPr>
          <w:sz w:val="28"/>
          <w:szCs w:val="28"/>
        </w:rPr>
        <w:t xml:space="preserve"> Броварського району</w:t>
      </w:r>
      <w:r w:rsidR="007444B1" w:rsidRPr="00436249">
        <w:rPr>
          <w:sz w:val="28"/>
          <w:szCs w:val="28"/>
        </w:rPr>
        <w:t xml:space="preserve"> Київської області</w:t>
      </w:r>
      <w:r w:rsidRPr="00436249">
        <w:rPr>
          <w:sz w:val="28"/>
          <w:szCs w:val="28"/>
        </w:rPr>
        <w:t>.</w:t>
      </w:r>
    </w:p>
    <w:p w:rsidR="00BE19D4" w:rsidRDefault="00BE19D4" w:rsidP="00A734B4">
      <w:pPr>
        <w:pStyle w:val="2"/>
        <w:ind w:firstLine="709"/>
        <w:jc w:val="center"/>
        <w:rPr>
          <w:b/>
          <w:sz w:val="28"/>
          <w:szCs w:val="28"/>
        </w:rPr>
      </w:pPr>
    </w:p>
    <w:p w:rsidR="007444B1" w:rsidRPr="00436249" w:rsidRDefault="004377F7" w:rsidP="00A734B4">
      <w:pPr>
        <w:pStyle w:val="2"/>
        <w:ind w:firstLine="709"/>
        <w:jc w:val="center"/>
        <w:rPr>
          <w:b/>
          <w:sz w:val="28"/>
          <w:szCs w:val="28"/>
        </w:rPr>
      </w:pPr>
      <w:r w:rsidRPr="00436249">
        <w:rPr>
          <w:b/>
          <w:sz w:val="28"/>
          <w:szCs w:val="28"/>
        </w:rPr>
        <w:t>5. Порядок використання коштів бюджету</w:t>
      </w:r>
      <w:r w:rsidR="009F0ECD" w:rsidRPr="00436249">
        <w:rPr>
          <w:b/>
          <w:sz w:val="28"/>
          <w:szCs w:val="28"/>
        </w:rPr>
        <w:t xml:space="preserve"> територіальної громади</w:t>
      </w:r>
      <w:r w:rsidRPr="00436249">
        <w:rPr>
          <w:b/>
          <w:sz w:val="28"/>
          <w:szCs w:val="28"/>
        </w:rPr>
        <w:t xml:space="preserve">, </w:t>
      </w:r>
    </w:p>
    <w:p w:rsidR="004377F7" w:rsidRPr="00436249" w:rsidRDefault="004377F7" w:rsidP="00A734B4">
      <w:pPr>
        <w:pStyle w:val="2"/>
        <w:ind w:firstLine="709"/>
        <w:jc w:val="center"/>
        <w:rPr>
          <w:b/>
          <w:sz w:val="28"/>
          <w:szCs w:val="28"/>
        </w:rPr>
      </w:pPr>
      <w:r w:rsidRPr="00436249">
        <w:rPr>
          <w:b/>
          <w:sz w:val="28"/>
          <w:szCs w:val="28"/>
        </w:rPr>
        <w:t>передбачених на реалізацію Програми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5.1. Фінансова підтримка за рахунок бюджетних коштів надається на безповоротній основі комунальним підприємствам, засновником яких є Броварська міська рада</w:t>
      </w:r>
      <w:r w:rsidR="009F0ECD" w:rsidRPr="00436249">
        <w:rPr>
          <w:sz w:val="28"/>
          <w:szCs w:val="28"/>
        </w:rPr>
        <w:t xml:space="preserve"> Броварського району</w:t>
      </w:r>
      <w:r w:rsidR="007444B1" w:rsidRPr="00436249">
        <w:rPr>
          <w:sz w:val="28"/>
          <w:szCs w:val="28"/>
        </w:rPr>
        <w:t xml:space="preserve"> Київської області</w:t>
      </w:r>
      <w:r w:rsidRPr="00436249">
        <w:rPr>
          <w:sz w:val="28"/>
          <w:szCs w:val="28"/>
        </w:rPr>
        <w:t xml:space="preserve">. Фінансова підтримка надається виключно в межах бюджетних призначень, встановлених рішенням міської ради про </w:t>
      </w:r>
      <w:r w:rsidR="007444B1" w:rsidRPr="00436249">
        <w:rPr>
          <w:sz w:val="28"/>
          <w:szCs w:val="28"/>
        </w:rPr>
        <w:t>місцевий</w:t>
      </w:r>
      <w:r w:rsidRPr="00436249">
        <w:rPr>
          <w:sz w:val="28"/>
          <w:szCs w:val="28"/>
        </w:rPr>
        <w:t xml:space="preserve"> бюджет на відповідний рік за цією</w:t>
      </w:r>
      <w:r w:rsidR="002942B8">
        <w:rPr>
          <w:sz w:val="28"/>
          <w:szCs w:val="28"/>
        </w:rPr>
        <w:t xml:space="preserve"> </w:t>
      </w:r>
      <w:r w:rsidRPr="00436249">
        <w:rPr>
          <w:sz w:val="28"/>
          <w:szCs w:val="28"/>
        </w:rPr>
        <w:t>Програмою, та в межах надходжень до бюджету</w:t>
      </w:r>
      <w:r w:rsidR="009F0ECD" w:rsidRPr="00436249">
        <w:rPr>
          <w:sz w:val="28"/>
          <w:szCs w:val="28"/>
        </w:rPr>
        <w:t xml:space="preserve"> територіальної громади</w:t>
      </w:r>
      <w:r w:rsidRPr="00436249">
        <w:rPr>
          <w:sz w:val="28"/>
          <w:szCs w:val="28"/>
        </w:rPr>
        <w:t xml:space="preserve">.  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5.2. Фінансова підтримка може виділятися виключно на покриття (відшкодування) поточних витрат комунальних підприємств, які виникають в процесі господарської діяльності, напрямок якої відповідає меті і завданням цієї Програми, у разі якщо такі витрати не покриваються доходами підприємства.</w:t>
      </w:r>
    </w:p>
    <w:p w:rsidR="00406C1E" w:rsidRPr="00436249" w:rsidRDefault="00406C1E" w:rsidP="00A734B4">
      <w:pPr>
        <w:rPr>
          <w:szCs w:val="28"/>
          <w:lang w:val="uk-UA" w:eastAsia="uk-UA"/>
        </w:rPr>
      </w:pPr>
      <w:r w:rsidRPr="00436249">
        <w:rPr>
          <w:szCs w:val="28"/>
          <w:lang w:val="uk-UA" w:eastAsia="uk-UA"/>
        </w:rPr>
        <w:lastRenderedPageBreak/>
        <w:tab/>
        <w:t>5.3. Для отримання фінансової підтримки підприємства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pacing w:val="3"/>
          <w:szCs w:val="28"/>
          <w:lang w:val="uk-UA" w:eastAsia="uk-UA"/>
        </w:rPr>
        <w:t xml:space="preserve">надають </w:t>
      </w:r>
      <w:r w:rsidRPr="00436249">
        <w:rPr>
          <w:szCs w:val="28"/>
          <w:lang w:val="uk-UA" w:eastAsia="uk-UA"/>
        </w:rPr>
        <w:t>фінансово</w:t>
      </w:r>
      <w:r w:rsidR="002942B8">
        <w:rPr>
          <w:szCs w:val="28"/>
          <w:lang w:val="uk-UA" w:eastAsia="uk-UA"/>
        </w:rPr>
        <w:t xml:space="preserve"> – </w:t>
      </w:r>
      <w:r w:rsidRPr="00436249">
        <w:rPr>
          <w:szCs w:val="28"/>
          <w:lang w:val="uk-UA" w:eastAsia="uk-UA"/>
        </w:rPr>
        <w:t>економічний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розрахунок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(обґрунтування)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необхідності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виділення коштів на надання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фінансової</w:t>
      </w:r>
      <w:r w:rsidR="002942B8">
        <w:rPr>
          <w:szCs w:val="28"/>
          <w:lang w:val="uk-UA" w:eastAsia="uk-UA"/>
        </w:rPr>
        <w:t xml:space="preserve"> </w:t>
      </w:r>
      <w:r w:rsidRPr="00436249">
        <w:rPr>
          <w:szCs w:val="28"/>
          <w:lang w:val="uk-UA" w:eastAsia="uk-UA"/>
        </w:rPr>
        <w:t>підтримки.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5.</w:t>
      </w:r>
      <w:r w:rsidR="00406C1E" w:rsidRPr="00436249">
        <w:rPr>
          <w:sz w:val="28"/>
          <w:szCs w:val="28"/>
        </w:rPr>
        <w:t>4</w:t>
      </w:r>
      <w:r w:rsidRPr="00436249">
        <w:rPr>
          <w:sz w:val="28"/>
          <w:szCs w:val="28"/>
        </w:rPr>
        <w:t>. Не підлягають забезпеченню за рахунок коштів бюджету</w:t>
      </w:r>
      <w:r w:rsidR="009809AD" w:rsidRPr="00436249">
        <w:rPr>
          <w:sz w:val="28"/>
          <w:szCs w:val="28"/>
        </w:rPr>
        <w:t xml:space="preserve"> територіальної громади</w:t>
      </w:r>
      <w:r w:rsidRPr="00436249">
        <w:rPr>
          <w:sz w:val="28"/>
          <w:szCs w:val="28"/>
        </w:rPr>
        <w:t xml:space="preserve"> витрати комунальних підприємств: 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 на премії та інші стимулюючі виплати, передбачені колективними договорами;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-на утримання об’єктів соціально-культурної інфраструктури підприємств; 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надання спонсорської і благодійної допомоги; </w:t>
      </w:r>
    </w:p>
    <w:p w:rsidR="004377F7" w:rsidRPr="00436249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:rsidR="007444B1" w:rsidRPr="00436249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6.Організація</w:t>
      </w:r>
      <w:r w:rsidR="002942B8">
        <w:rPr>
          <w:b/>
          <w:szCs w:val="28"/>
          <w:lang w:val="uk-UA"/>
        </w:rPr>
        <w:t xml:space="preserve"> </w:t>
      </w:r>
      <w:r w:rsidRPr="00436249">
        <w:rPr>
          <w:b/>
          <w:szCs w:val="28"/>
          <w:lang w:val="uk-UA"/>
        </w:rPr>
        <w:t>реалізації</w:t>
      </w:r>
      <w:r w:rsidR="002942B8">
        <w:rPr>
          <w:b/>
          <w:szCs w:val="28"/>
          <w:lang w:val="uk-UA"/>
        </w:rPr>
        <w:t xml:space="preserve"> </w:t>
      </w:r>
      <w:r w:rsidRPr="00436249">
        <w:rPr>
          <w:b/>
          <w:szCs w:val="28"/>
          <w:lang w:val="uk-UA"/>
        </w:rPr>
        <w:t>Програми</w:t>
      </w:r>
    </w:p>
    <w:p w:rsidR="004377F7" w:rsidRPr="00436249" w:rsidRDefault="002942B8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Т</w:t>
      </w:r>
      <w:r w:rsidR="004377F7" w:rsidRPr="00436249">
        <w:rPr>
          <w:b/>
          <w:szCs w:val="28"/>
          <w:lang w:val="uk-UA"/>
        </w:rPr>
        <w:t>а</w:t>
      </w:r>
      <w:r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здійснення контролю за її</w:t>
      </w:r>
      <w:r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виконанням</w:t>
      </w:r>
    </w:p>
    <w:p w:rsidR="00632138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 xml:space="preserve">6.1. Реалізація програми покладається на </w:t>
      </w:r>
      <w:r w:rsidR="00632138" w:rsidRPr="00436249">
        <w:rPr>
          <w:szCs w:val="28"/>
          <w:lang w:val="uk-UA"/>
        </w:rPr>
        <w:t>виконавчий комітет Броварської міської ради</w:t>
      </w:r>
      <w:r w:rsidR="00605B85" w:rsidRPr="00436249">
        <w:rPr>
          <w:szCs w:val="28"/>
          <w:lang w:val="uk-UA"/>
        </w:rPr>
        <w:t xml:space="preserve"> Броварського району</w:t>
      </w:r>
      <w:r w:rsidR="00632138" w:rsidRPr="00436249">
        <w:rPr>
          <w:szCs w:val="28"/>
          <w:lang w:val="uk-UA"/>
        </w:rPr>
        <w:t xml:space="preserve"> Київської області та управління будівництва, житлово-комунального господарства, інфраструктури та транспорту Броварської міської ради</w:t>
      </w:r>
      <w:r w:rsidR="00605B85" w:rsidRPr="00436249">
        <w:rPr>
          <w:szCs w:val="28"/>
          <w:lang w:val="uk-UA"/>
        </w:rPr>
        <w:t xml:space="preserve"> Броварського району</w:t>
      </w:r>
      <w:r w:rsidR="00632138" w:rsidRPr="00436249">
        <w:rPr>
          <w:szCs w:val="28"/>
          <w:lang w:val="uk-UA"/>
        </w:rPr>
        <w:t xml:space="preserve"> Київської області.</w:t>
      </w:r>
    </w:p>
    <w:p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:rsidR="004377F7" w:rsidRPr="00436249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7. Очікувані результати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 xml:space="preserve">7.1. Виконання Програми дозволить: 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створити умови для стабільної і беззбиткової роботи комунальних підприємств при здійсненні своєї господарської діяльності;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підвищити рівень обслуговування населення та надання житлово-комунальних послуг;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забезпечити належне утримання об’єктів благоустрою;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забезпечити своєчасну та в повному обсязі виплату заробітної плати та нарахувань на неї;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покращити фінансовий стан комунальних підприємств;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здійснити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модернізацію та оновлення (придбання) необхідного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обладнання, парку транспортних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засобів та його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підтримання в належному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технічному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 xml:space="preserve">стані на </w:t>
      </w:r>
      <w:r w:rsidR="00A40D0C" w:rsidRPr="00436249">
        <w:rPr>
          <w:szCs w:val="28"/>
          <w:lang w:val="uk-UA"/>
        </w:rPr>
        <w:t xml:space="preserve">комунальних підприємствах </w:t>
      </w:r>
      <w:r w:rsidR="00A40D0C" w:rsidRPr="00436249">
        <w:rPr>
          <w:lang w:val="uk-UA"/>
        </w:rPr>
        <w:t>територіальної громади</w:t>
      </w:r>
      <w:r w:rsidRPr="00436249">
        <w:rPr>
          <w:szCs w:val="28"/>
          <w:lang w:val="uk-UA"/>
        </w:rPr>
        <w:t>;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забезпечити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розвинення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рекреаційної</w:t>
      </w:r>
      <w:r w:rsidR="002942B8">
        <w:rPr>
          <w:szCs w:val="28"/>
          <w:lang w:val="uk-UA"/>
        </w:rPr>
        <w:t xml:space="preserve"> </w:t>
      </w:r>
      <w:r w:rsidRPr="00436249">
        <w:rPr>
          <w:szCs w:val="28"/>
          <w:lang w:val="uk-UA"/>
        </w:rPr>
        <w:t>інфраструктури</w:t>
      </w:r>
      <w:r w:rsidR="007444B1" w:rsidRPr="00436249">
        <w:rPr>
          <w:szCs w:val="28"/>
          <w:lang w:val="uk-UA"/>
        </w:rPr>
        <w:t>;</w:t>
      </w:r>
    </w:p>
    <w:p w:rsidR="007444B1" w:rsidRPr="00436249" w:rsidRDefault="007444B1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- виконання накладеного судом стягнення у вигляді суспільно корисних робіт шляхом залучення порушників до суспільно корисної праці.</w:t>
      </w:r>
    </w:p>
    <w:p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:rsidR="004377F7" w:rsidRPr="00436249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8. Прикінцеві положення</w:t>
      </w: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>8.1. До Програми можуть бути внесені зміни та доповнення, відповідно до чинного законодавства.</w:t>
      </w:r>
    </w:p>
    <w:p w:rsidR="005971C8" w:rsidRPr="00436249" w:rsidRDefault="005971C8" w:rsidP="00A734B4">
      <w:pPr>
        <w:ind w:firstLine="709"/>
        <w:rPr>
          <w:szCs w:val="28"/>
          <w:lang w:val="uk-UA"/>
        </w:rPr>
      </w:pPr>
    </w:p>
    <w:p w:rsidR="0075218F" w:rsidRPr="00436249" w:rsidRDefault="0075218F" w:rsidP="00F75BE3">
      <w:pPr>
        <w:rPr>
          <w:szCs w:val="28"/>
          <w:lang w:val="uk-UA"/>
        </w:rPr>
      </w:pPr>
    </w:p>
    <w:p w:rsidR="004377F7" w:rsidRPr="00436249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 xml:space="preserve">Міський голова                                                 </w:t>
      </w:r>
      <w:r w:rsidR="00E82237" w:rsidRPr="00436249">
        <w:rPr>
          <w:szCs w:val="28"/>
          <w:lang w:val="uk-UA"/>
        </w:rPr>
        <w:t>Ігор САПОЖКО</w:t>
      </w:r>
    </w:p>
    <w:sectPr w:rsidR="004377F7" w:rsidRPr="00436249" w:rsidSect="00F75BE3">
      <w:pgSz w:w="11906" w:h="16838"/>
      <w:pgMar w:top="568" w:right="850" w:bottom="142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/>
  <w:rsids>
    <w:rsidRoot w:val="004377F7"/>
    <w:rsid w:val="00012D3D"/>
    <w:rsid w:val="000346AF"/>
    <w:rsid w:val="000512AE"/>
    <w:rsid w:val="00061ED9"/>
    <w:rsid w:val="000660E0"/>
    <w:rsid w:val="00075C64"/>
    <w:rsid w:val="0008745F"/>
    <w:rsid w:val="000974F5"/>
    <w:rsid w:val="000A09AE"/>
    <w:rsid w:val="000C62D6"/>
    <w:rsid w:val="000E258E"/>
    <w:rsid w:val="000F5FC5"/>
    <w:rsid w:val="00106739"/>
    <w:rsid w:val="001203F1"/>
    <w:rsid w:val="001312A3"/>
    <w:rsid w:val="00170067"/>
    <w:rsid w:val="00177CF7"/>
    <w:rsid w:val="00181FB4"/>
    <w:rsid w:val="001C3F85"/>
    <w:rsid w:val="001D1038"/>
    <w:rsid w:val="001D6375"/>
    <w:rsid w:val="001E0045"/>
    <w:rsid w:val="001E1D9B"/>
    <w:rsid w:val="001E2526"/>
    <w:rsid w:val="001E3D42"/>
    <w:rsid w:val="001E4E2A"/>
    <w:rsid w:val="001F696C"/>
    <w:rsid w:val="002225F7"/>
    <w:rsid w:val="00227108"/>
    <w:rsid w:val="002350B9"/>
    <w:rsid w:val="00236E2E"/>
    <w:rsid w:val="00251E43"/>
    <w:rsid w:val="00264EE8"/>
    <w:rsid w:val="002856B0"/>
    <w:rsid w:val="0029028C"/>
    <w:rsid w:val="002942B8"/>
    <w:rsid w:val="00297775"/>
    <w:rsid w:val="002A6D19"/>
    <w:rsid w:val="002B47B6"/>
    <w:rsid w:val="002B4EDB"/>
    <w:rsid w:val="002E2B2B"/>
    <w:rsid w:val="00347BBE"/>
    <w:rsid w:val="003671C7"/>
    <w:rsid w:val="00375747"/>
    <w:rsid w:val="003942FA"/>
    <w:rsid w:val="003B0E6B"/>
    <w:rsid w:val="003C131A"/>
    <w:rsid w:val="003D1304"/>
    <w:rsid w:val="003D3983"/>
    <w:rsid w:val="003E095B"/>
    <w:rsid w:val="003E62ED"/>
    <w:rsid w:val="00406C1E"/>
    <w:rsid w:val="0041790D"/>
    <w:rsid w:val="00427EF0"/>
    <w:rsid w:val="00434934"/>
    <w:rsid w:val="00436249"/>
    <w:rsid w:val="004377F7"/>
    <w:rsid w:val="0045152A"/>
    <w:rsid w:val="00466282"/>
    <w:rsid w:val="0047412F"/>
    <w:rsid w:val="00495877"/>
    <w:rsid w:val="004A49CC"/>
    <w:rsid w:val="004E5075"/>
    <w:rsid w:val="00524FD0"/>
    <w:rsid w:val="005371A3"/>
    <w:rsid w:val="0054060A"/>
    <w:rsid w:val="0054547B"/>
    <w:rsid w:val="00574002"/>
    <w:rsid w:val="00595240"/>
    <w:rsid w:val="005971C8"/>
    <w:rsid w:val="005B2E18"/>
    <w:rsid w:val="005C67B3"/>
    <w:rsid w:val="005D5E12"/>
    <w:rsid w:val="005E573F"/>
    <w:rsid w:val="00600C81"/>
    <w:rsid w:val="00605B85"/>
    <w:rsid w:val="006072F8"/>
    <w:rsid w:val="00624327"/>
    <w:rsid w:val="00632138"/>
    <w:rsid w:val="006434E3"/>
    <w:rsid w:val="00644F90"/>
    <w:rsid w:val="00666999"/>
    <w:rsid w:val="006708F2"/>
    <w:rsid w:val="006B63BC"/>
    <w:rsid w:val="006C6C7C"/>
    <w:rsid w:val="006D0967"/>
    <w:rsid w:val="007444B1"/>
    <w:rsid w:val="0075218F"/>
    <w:rsid w:val="007614E1"/>
    <w:rsid w:val="0077758B"/>
    <w:rsid w:val="0079535C"/>
    <w:rsid w:val="007A010F"/>
    <w:rsid w:val="007A4DFC"/>
    <w:rsid w:val="007E0AC0"/>
    <w:rsid w:val="007F1A1D"/>
    <w:rsid w:val="00854CFB"/>
    <w:rsid w:val="00885536"/>
    <w:rsid w:val="00896C0F"/>
    <w:rsid w:val="008A2C4D"/>
    <w:rsid w:val="008C6E70"/>
    <w:rsid w:val="00902897"/>
    <w:rsid w:val="00914CF0"/>
    <w:rsid w:val="00950852"/>
    <w:rsid w:val="009809AD"/>
    <w:rsid w:val="00982A1D"/>
    <w:rsid w:val="009D1FCF"/>
    <w:rsid w:val="009E09F0"/>
    <w:rsid w:val="009F0ECD"/>
    <w:rsid w:val="009F7DA8"/>
    <w:rsid w:val="00A368AC"/>
    <w:rsid w:val="00A40D0C"/>
    <w:rsid w:val="00A603EB"/>
    <w:rsid w:val="00A734B4"/>
    <w:rsid w:val="00AA1795"/>
    <w:rsid w:val="00AA3C52"/>
    <w:rsid w:val="00AC5ADF"/>
    <w:rsid w:val="00B0620E"/>
    <w:rsid w:val="00B23C91"/>
    <w:rsid w:val="00B34761"/>
    <w:rsid w:val="00B806F1"/>
    <w:rsid w:val="00B93E38"/>
    <w:rsid w:val="00BA7D9F"/>
    <w:rsid w:val="00BC1D24"/>
    <w:rsid w:val="00BD3352"/>
    <w:rsid w:val="00BE19D4"/>
    <w:rsid w:val="00BF5DC1"/>
    <w:rsid w:val="00C1213B"/>
    <w:rsid w:val="00C135BB"/>
    <w:rsid w:val="00C20199"/>
    <w:rsid w:val="00C8236B"/>
    <w:rsid w:val="00C854BB"/>
    <w:rsid w:val="00CB3A6A"/>
    <w:rsid w:val="00CC4878"/>
    <w:rsid w:val="00CC7CCC"/>
    <w:rsid w:val="00CD4B86"/>
    <w:rsid w:val="00CD66FE"/>
    <w:rsid w:val="00D11FA9"/>
    <w:rsid w:val="00D2160C"/>
    <w:rsid w:val="00D33E57"/>
    <w:rsid w:val="00D65AF1"/>
    <w:rsid w:val="00DD5F3D"/>
    <w:rsid w:val="00DF1EF0"/>
    <w:rsid w:val="00DF2336"/>
    <w:rsid w:val="00E00765"/>
    <w:rsid w:val="00E4209C"/>
    <w:rsid w:val="00E42BD7"/>
    <w:rsid w:val="00E5396F"/>
    <w:rsid w:val="00E54467"/>
    <w:rsid w:val="00E82237"/>
    <w:rsid w:val="00E86033"/>
    <w:rsid w:val="00E915B5"/>
    <w:rsid w:val="00E93FF7"/>
    <w:rsid w:val="00EA4A5F"/>
    <w:rsid w:val="00EA7990"/>
    <w:rsid w:val="00EB2EDD"/>
    <w:rsid w:val="00EB6D47"/>
    <w:rsid w:val="00EF7F38"/>
    <w:rsid w:val="00F06649"/>
    <w:rsid w:val="00F137D1"/>
    <w:rsid w:val="00F235C1"/>
    <w:rsid w:val="00F40352"/>
    <w:rsid w:val="00F4556D"/>
    <w:rsid w:val="00F51632"/>
    <w:rsid w:val="00F62BDA"/>
    <w:rsid w:val="00F75BE3"/>
    <w:rsid w:val="00F85EA8"/>
    <w:rsid w:val="00FB44AB"/>
    <w:rsid w:val="00FD0E31"/>
    <w:rsid w:val="00FE4439"/>
    <w:rsid w:val="00FE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75C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5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49</cp:revision>
  <cp:lastPrinted>2021-02-18T11:22:00Z</cp:lastPrinted>
  <dcterms:created xsi:type="dcterms:W3CDTF">2021-02-16T21:13:00Z</dcterms:created>
  <dcterms:modified xsi:type="dcterms:W3CDTF">2021-03-04T13:16:00Z</dcterms:modified>
</cp:coreProperties>
</file>