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FB20" w14:textId="77777777" w:rsidR="00026E2E" w:rsidRDefault="00026E2E" w:rsidP="00026E2E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Додаток 1</w:t>
      </w:r>
    </w:p>
    <w:p w14:paraId="6860B046" w14:textId="77777777" w:rsidR="00026E2E" w:rsidRDefault="00026E2E" w:rsidP="00026E2E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Броварської міської ради Броварського району Київської області</w:t>
      </w:r>
    </w:p>
    <w:p w14:paraId="6057495D" w14:textId="77777777" w:rsidR="00026E2E" w:rsidRDefault="00026E2E" w:rsidP="00026E2E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від 09.06.2022 р.</w:t>
      </w:r>
    </w:p>
    <w:p w14:paraId="0FA6701F" w14:textId="77777777" w:rsidR="00026E2E" w:rsidRDefault="00026E2E" w:rsidP="00026E2E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№  718-27-08</w:t>
      </w:r>
    </w:p>
    <w:p w14:paraId="7F2807FC" w14:textId="77777777" w:rsidR="00026E2E" w:rsidRDefault="00026E2E" w:rsidP="00026E2E">
      <w:pPr>
        <w:ind w:left="5103"/>
        <w:jc w:val="both"/>
        <w:rPr>
          <w:sz w:val="28"/>
          <w:szCs w:val="28"/>
        </w:rPr>
      </w:pPr>
    </w:p>
    <w:p w14:paraId="3DC74DA0" w14:textId="77777777" w:rsidR="00026E2E" w:rsidRDefault="00026E2E" w:rsidP="00026E2E">
      <w:pPr>
        <w:ind w:left="5103"/>
        <w:jc w:val="both"/>
        <w:rPr>
          <w:sz w:val="28"/>
          <w:szCs w:val="28"/>
        </w:rPr>
      </w:pPr>
    </w:p>
    <w:p w14:paraId="21F9CF5D" w14:textId="77777777" w:rsidR="00026E2E" w:rsidRDefault="00026E2E" w:rsidP="00026E2E">
      <w:pPr>
        <w:jc w:val="center"/>
        <w:rPr>
          <w:sz w:val="28"/>
          <w:szCs w:val="28"/>
        </w:rPr>
      </w:pPr>
      <w:r w:rsidRPr="00587F8C">
        <w:rPr>
          <w:sz w:val="28"/>
          <w:szCs w:val="28"/>
        </w:rPr>
        <w:t xml:space="preserve">1. </w:t>
      </w:r>
      <w:r>
        <w:rPr>
          <w:sz w:val="28"/>
          <w:szCs w:val="28"/>
        </w:rPr>
        <w:t>Перелік основних засобів, що перебувають на балансі</w:t>
      </w:r>
      <w:r w:rsidRPr="00587F8C">
        <w:rPr>
          <w:sz w:val="28"/>
          <w:szCs w:val="28"/>
        </w:rPr>
        <w:t xml:space="preserve"> закладу дошкільної освіти (ясел-садка) комбінованого типу «Ромашка» Броварської міської ради Броварського району Київської області </w:t>
      </w:r>
      <w:r>
        <w:rPr>
          <w:sz w:val="28"/>
          <w:szCs w:val="28"/>
        </w:rPr>
        <w:t xml:space="preserve">та передаються </w:t>
      </w:r>
      <w:r w:rsidRPr="00587F8C">
        <w:rPr>
          <w:sz w:val="28"/>
          <w:szCs w:val="28"/>
        </w:rPr>
        <w:t>на баланс комунального некомерційного підприємства «Броварська багатопрофільна клінічна лікарня» (для забезпечення дотримання санітарних вимог під час дії воєнного стану):</w:t>
      </w:r>
    </w:p>
    <w:p w14:paraId="0794ED45" w14:textId="77777777" w:rsidR="00026E2E" w:rsidRDefault="00026E2E" w:rsidP="00026E2E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3664"/>
        <w:gridCol w:w="1418"/>
        <w:gridCol w:w="1417"/>
        <w:gridCol w:w="1418"/>
        <w:gridCol w:w="1099"/>
      </w:tblGrid>
      <w:tr w:rsidR="00026E2E" w14:paraId="241DA114" w14:textId="77777777" w:rsidTr="00BE4DFB">
        <w:tc>
          <w:tcPr>
            <w:tcW w:w="555" w:type="dxa"/>
          </w:tcPr>
          <w:p w14:paraId="775F124E" w14:textId="77777777" w:rsidR="00026E2E" w:rsidRPr="005A3D53" w:rsidRDefault="00026E2E" w:rsidP="00BE4DFB">
            <w:pPr>
              <w:jc w:val="center"/>
              <w:rPr>
                <w:sz w:val="24"/>
                <w:szCs w:val="24"/>
              </w:rPr>
            </w:pPr>
            <w:r w:rsidRPr="005A3D53">
              <w:rPr>
                <w:sz w:val="24"/>
                <w:szCs w:val="24"/>
              </w:rPr>
              <w:t>№ з/п</w:t>
            </w:r>
          </w:p>
        </w:tc>
        <w:tc>
          <w:tcPr>
            <w:tcW w:w="3664" w:type="dxa"/>
          </w:tcPr>
          <w:p w14:paraId="154E3AEA" w14:textId="77777777" w:rsidR="00026E2E" w:rsidRPr="005A3D53" w:rsidRDefault="00026E2E" w:rsidP="00BE4DFB">
            <w:pPr>
              <w:jc w:val="center"/>
              <w:rPr>
                <w:sz w:val="24"/>
                <w:szCs w:val="24"/>
              </w:rPr>
            </w:pPr>
            <w:r w:rsidRPr="005A3D53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1418" w:type="dxa"/>
          </w:tcPr>
          <w:p w14:paraId="7536F128" w14:textId="77777777" w:rsidR="00026E2E" w:rsidRPr="005A3D53" w:rsidRDefault="00026E2E" w:rsidP="00BE4DFB">
            <w:pPr>
              <w:jc w:val="center"/>
              <w:rPr>
                <w:sz w:val="24"/>
                <w:szCs w:val="24"/>
              </w:rPr>
            </w:pPr>
            <w:r w:rsidRPr="005A3D53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1417" w:type="dxa"/>
          </w:tcPr>
          <w:p w14:paraId="57CE76AD" w14:textId="77777777" w:rsidR="00026E2E" w:rsidRPr="005A3D53" w:rsidRDefault="00026E2E" w:rsidP="00BE4DFB">
            <w:pPr>
              <w:jc w:val="center"/>
              <w:rPr>
                <w:sz w:val="24"/>
                <w:szCs w:val="24"/>
              </w:rPr>
            </w:pPr>
            <w:r w:rsidRPr="005A3D53">
              <w:rPr>
                <w:sz w:val="24"/>
                <w:szCs w:val="24"/>
              </w:rPr>
              <w:t>Кількість</w:t>
            </w:r>
          </w:p>
        </w:tc>
        <w:tc>
          <w:tcPr>
            <w:tcW w:w="1418" w:type="dxa"/>
          </w:tcPr>
          <w:p w14:paraId="26ABC176" w14:textId="77777777" w:rsidR="00026E2E" w:rsidRPr="005A3D53" w:rsidRDefault="00026E2E" w:rsidP="00BE4DFB">
            <w:pPr>
              <w:jc w:val="center"/>
              <w:rPr>
                <w:sz w:val="24"/>
                <w:szCs w:val="24"/>
              </w:rPr>
            </w:pPr>
            <w:r w:rsidRPr="005A3D53">
              <w:rPr>
                <w:sz w:val="24"/>
                <w:szCs w:val="24"/>
              </w:rPr>
              <w:t>Вартість за одиницю, грн.</w:t>
            </w:r>
          </w:p>
        </w:tc>
        <w:tc>
          <w:tcPr>
            <w:tcW w:w="1099" w:type="dxa"/>
          </w:tcPr>
          <w:p w14:paraId="262993F3" w14:textId="77777777" w:rsidR="00026E2E" w:rsidRPr="005A3D53" w:rsidRDefault="00026E2E" w:rsidP="00BE4DFB">
            <w:pPr>
              <w:jc w:val="center"/>
              <w:rPr>
                <w:sz w:val="24"/>
                <w:szCs w:val="24"/>
              </w:rPr>
            </w:pPr>
            <w:r w:rsidRPr="005A3D53">
              <w:rPr>
                <w:sz w:val="24"/>
                <w:szCs w:val="24"/>
              </w:rPr>
              <w:t>Сума, грн.</w:t>
            </w:r>
          </w:p>
        </w:tc>
      </w:tr>
      <w:tr w:rsidR="00026E2E" w14:paraId="793F5F0F" w14:textId="77777777" w:rsidTr="00BE4DFB">
        <w:tc>
          <w:tcPr>
            <w:tcW w:w="555" w:type="dxa"/>
          </w:tcPr>
          <w:p w14:paraId="1FB940E7" w14:textId="77777777" w:rsidR="00026E2E" w:rsidRPr="005A3D53" w:rsidRDefault="00026E2E" w:rsidP="00BE4DFB">
            <w:pPr>
              <w:jc w:val="center"/>
              <w:rPr>
                <w:sz w:val="24"/>
                <w:szCs w:val="24"/>
              </w:rPr>
            </w:pPr>
            <w:r w:rsidRPr="005A3D53">
              <w:rPr>
                <w:sz w:val="24"/>
                <w:szCs w:val="24"/>
              </w:rPr>
              <w:t>1</w:t>
            </w:r>
          </w:p>
        </w:tc>
        <w:tc>
          <w:tcPr>
            <w:tcW w:w="3664" w:type="dxa"/>
          </w:tcPr>
          <w:p w14:paraId="20FBA015" w14:textId="77777777" w:rsidR="00026E2E" w:rsidRPr="005A3D53" w:rsidRDefault="00026E2E" w:rsidP="00BE4DFB">
            <w:pPr>
              <w:rPr>
                <w:sz w:val="24"/>
                <w:szCs w:val="24"/>
              </w:rPr>
            </w:pPr>
            <w:r w:rsidRPr="005A3D53">
              <w:rPr>
                <w:sz w:val="24"/>
                <w:szCs w:val="24"/>
              </w:rPr>
              <w:t xml:space="preserve">Пральний порошок </w:t>
            </w:r>
            <w:proofErr w:type="spellStart"/>
            <w:r w:rsidRPr="005A3D53">
              <w:rPr>
                <w:sz w:val="24"/>
                <w:szCs w:val="24"/>
              </w:rPr>
              <w:t>Origami</w:t>
            </w:r>
            <w:proofErr w:type="spellEnd"/>
            <w:r w:rsidRPr="005A3D53">
              <w:rPr>
                <w:sz w:val="24"/>
                <w:szCs w:val="24"/>
              </w:rPr>
              <w:t xml:space="preserve"> 9 кг</w:t>
            </w:r>
          </w:p>
        </w:tc>
        <w:tc>
          <w:tcPr>
            <w:tcW w:w="1418" w:type="dxa"/>
          </w:tcPr>
          <w:p w14:paraId="70390803" w14:textId="77777777" w:rsidR="00026E2E" w:rsidRPr="005A3D53" w:rsidRDefault="00026E2E" w:rsidP="00BE4DFB">
            <w:pPr>
              <w:jc w:val="center"/>
              <w:rPr>
                <w:sz w:val="24"/>
                <w:szCs w:val="24"/>
              </w:rPr>
            </w:pPr>
            <w:proofErr w:type="spellStart"/>
            <w:r w:rsidRPr="005A3D5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14:paraId="56F558BE" w14:textId="77777777" w:rsidR="00026E2E" w:rsidRPr="005A3D53" w:rsidRDefault="00026E2E" w:rsidP="00BE4DFB">
            <w:pPr>
              <w:jc w:val="center"/>
              <w:rPr>
                <w:sz w:val="24"/>
                <w:szCs w:val="24"/>
              </w:rPr>
            </w:pPr>
            <w:r w:rsidRPr="005A3D53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1D5A6264" w14:textId="77777777" w:rsidR="00026E2E" w:rsidRPr="005A3D53" w:rsidRDefault="00026E2E" w:rsidP="00BE4DFB">
            <w:pPr>
              <w:jc w:val="center"/>
              <w:rPr>
                <w:sz w:val="24"/>
                <w:szCs w:val="24"/>
              </w:rPr>
            </w:pPr>
            <w:r w:rsidRPr="005A3D53">
              <w:rPr>
                <w:sz w:val="24"/>
                <w:szCs w:val="24"/>
              </w:rPr>
              <w:t>189,90</w:t>
            </w:r>
          </w:p>
        </w:tc>
        <w:tc>
          <w:tcPr>
            <w:tcW w:w="1099" w:type="dxa"/>
          </w:tcPr>
          <w:p w14:paraId="2F7D695A" w14:textId="77777777" w:rsidR="00026E2E" w:rsidRPr="005A3D53" w:rsidRDefault="00026E2E" w:rsidP="00BE4DFB">
            <w:pPr>
              <w:jc w:val="center"/>
              <w:rPr>
                <w:sz w:val="24"/>
                <w:szCs w:val="24"/>
              </w:rPr>
            </w:pPr>
            <w:r w:rsidRPr="005A3D53">
              <w:rPr>
                <w:sz w:val="24"/>
                <w:szCs w:val="24"/>
              </w:rPr>
              <w:t>1899,00</w:t>
            </w:r>
          </w:p>
        </w:tc>
      </w:tr>
    </w:tbl>
    <w:p w14:paraId="0F2EB997" w14:textId="77777777" w:rsidR="00026E2E" w:rsidRDefault="00026E2E" w:rsidP="00026E2E">
      <w:pPr>
        <w:jc w:val="both"/>
        <w:rPr>
          <w:sz w:val="28"/>
          <w:szCs w:val="28"/>
        </w:rPr>
      </w:pPr>
    </w:p>
    <w:p w14:paraId="0E928224" w14:textId="77777777" w:rsidR="00026E2E" w:rsidRDefault="00026E2E" w:rsidP="00026E2E">
      <w:pPr>
        <w:jc w:val="both"/>
        <w:rPr>
          <w:sz w:val="28"/>
          <w:szCs w:val="28"/>
        </w:rPr>
      </w:pPr>
    </w:p>
    <w:p w14:paraId="25975FF8" w14:textId="77777777" w:rsidR="00026E2E" w:rsidRDefault="00026E2E" w:rsidP="00026E2E">
      <w:pPr>
        <w:jc w:val="both"/>
        <w:rPr>
          <w:sz w:val="28"/>
          <w:szCs w:val="28"/>
        </w:rPr>
      </w:pPr>
    </w:p>
    <w:p w14:paraId="7A76AD49" w14:textId="2F3D6B47" w:rsidR="00334FAF" w:rsidRPr="00026E2E" w:rsidRDefault="00026E2E" w:rsidP="00026E2E">
      <w:pPr>
        <w:jc w:val="both"/>
        <w:rPr>
          <w:sz w:val="28"/>
          <w:szCs w:val="28"/>
        </w:rPr>
      </w:pPr>
      <w:r w:rsidRPr="001405EF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                                                                    </w:t>
      </w:r>
      <w:r w:rsidRPr="001405EF">
        <w:rPr>
          <w:sz w:val="28"/>
          <w:szCs w:val="28"/>
        </w:rPr>
        <w:t xml:space="preserve"> Ігор САПОЖКО</w:t>
      </w:r>
    </w:p>
    <w:sectPr w:rsidR="00334FAF" w:rsidRPr="0002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E5"/>
    <w:rsid w:val="00026E2E"/>
    <w:rsid w:val="00334FAF"/>
    <w:rsid w:val="00E2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E996"/>
  <w15:chartTrackingRefBased/>
  <w15:docId w15:val="{7BF42AA1-C524-404B-A7A0-990A7F45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2022-06-09T06:47:00Z</dcterms:created>
  <dcterms:modified xsi:type="dcterms:W3CDTF">2022-06-09T06:47:00Z</dcterms:modified>
</cp:coreProperties>
</file>