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D12A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D12A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D12A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D12A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D12A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13.06.2023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438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9032C3" w14:textId="77777777" w:rsidR="00EC614D" w:rsidRDefault="00EC614D" w:rsidP="00EC614D">
      <w:pPr>
        <w:spacing w:after="0" w:line="240" w:lineRule="auto"/>
        <w:jc w:val="center"/>
        <w:rPr>
          <w:rFonts w:ascii="Times New Roman" w:hAnsi="Times New Roman"/>
          <w:b/>
          <w:bCs/>
          <w:sz w:val="32"/>
        </w:rPr>
      </w:pPr>
      <w:permStart w:id="1" w:edGrp="everyone"/>
      <w:r>
        <w:rPr>
          <w:rFonts w:ascii="Times New Roman" w:hAnsi="Times New Roman"/>
          <w:b/>
          <w:bCs/>
          <w:sz w:val="32"/>
        </w:rPr>
        <w:t>ПОЛОЖЕННЯ</w:t>
      </w:r>
    </w:p>
    <w:p w14:paraId="5BF8478B" w14:textId="77777777" w:rsidR="00EC614D" w:rsidRDefault="00EC614D" w:rsidP="00EC614D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про забезпечення санаторно-курортним лікуванням ветеранів війни, які приймали участь  в  антитерористичній операції/операції Об’єднаних сил та ветеранів війни, що брали /беруть участь в заходах щодо забезпечення відсічі збройної агресії російської федерації, постраждалих учасників Революції Гідності, бійців-добровольців АТО  та борців за незалежність України у  ХХ столітті </w:t>
      </w:r>
    </w:p>
    <w:p w14:paraId="5EDD7E21" w14:textId="77777777" w:rsidR="00EC614D" w:rsidRDefault="00EC614D" w:rsidP="00EC614D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3CA1A2" w14:textId="77777777" w:rsidR="00EC614D" w:rsidRDefault="00EC614D" w:rsidP="00EC614D">
      <w:pPr>
        <w:pStyle w:val="a8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Загальні положення</w:t>
      </w:r>
    </w:p>
    <w:p w14:paraId="1B11C867" w14:textId="77777777" w:rsidR="00EC614D" w:rsidRDefault="00EC614D" w:rsidP="00EC614D">
      <w:pPr>
        <w:pStyle w:val="a8"/>
        <w:tabs>
          <w:tab w:val="left" w:pos="993"/>
        </w:tabs>
        <w:suppressAutoHyphens/>
        <w:spacing w:after="0" w:line="240" w:lineRule="auto"/>
        <w:ind w:left="927"/>
        <w:rPr>
          <w:rFonts w:ascii="Times New Roman" w:hAnsi="Times New Roman"/>
          <w:sz w:val="28"/>
        </w:rPr>
      </w:pPr>
    </w:p>
    <w:p w14:paraId="1441D756" w14:textId="77777777" w:rsidR="00EC614D" w:rsidRDefault="00EC614D" w:rsidP="00EC614D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1.1.Це Положення визначає умови та порядок забезпечення санаторно – курортним лікуванням </w:t>
      </w:r>
      <w:bookmarkStart w:id="0" w:name="_Hlk136596971"/>
      <w:r>
        <w:rPr>
          <w:rFonts w:ascii="Times New Roman" w:hAnsi="Times New Roman"/>
          <w:sz w:val="28"/>
        </w:rPr>
        <w:t>ветеранів війни, які приймали участь  в  антитерористичній операції/операції Об’єднаних сил та ветеранів війни, що брали /беруть участь в заходах щодо забезпечення відсічі збройної агресії російської федерації, постраждалих учасників Революції Гідності, бійців-добровольців АТО  та борців за незалежність України у  ХХ столітті .</w:t>
      </w:r>
    </w:p>
    <w:p w14:paraId="3CEEAF65" w14:textId="77777777" w:rsidR="00EC614D" w:rsidRDefault="00EC614D" w:rsidP="00EC614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bookmarkEnd w:id="0"/>
    <w:p w14:paraId="2BCB9587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1.2.Положення розроблено відповідно до пункту 2.9 розділу 2  «Медичне обслуговування військовослужбовців, учасників антитерористичної операції /операції Об’єднаних сил, їх сімей та постраждалих учасників Революції Гідності, бійців – добровольців АТО та борців за незалежність України у ХХ столітті»   Програми    з надання соціальної та правової допомоги демобілізованим військовослужбовцям та військовослужбовцям, які брали  (беруть) участь в антитерористичній операції /операції Об’єднаних сил, їх сім’ям, постраждалим учасникам Революції Гідності, бійцям - добровольцям АТО та борцям за незалежність України у ХХ столітті на  2022-2026 роки, затвердженої  рішенням Броварської міської ради Броварського району   Київської області від 23.12.2021 року № 604-19-08(зі змінами). </w:t>
      </w:r>
    </w:p>
    <w:p w14:paraId="3C341BBC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3618BDE9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1.3.Забезпечення санаторно-курортними  путівками ветеранів війни, які приймали участь  в  антитерористичній операції/операції Об’єднаних сил та ветеранів війни, що брали /беруть участь в заходах щодо забезпечення відсічі збройної агресії російської федерації, постраждалих учасників Революції Гідності, бійців-добровольців АТО  та борців за незалежність України у  ХХ столітті (далі особи)  здійснюється за рахунок коштів, передбачених у місцевому бюджеті.</w:t>
      </w:r>
    </w:p>
    <w:p w14:paraId="6E3A597A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4F878240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1.4.Безоплатне забезпечення осіб  санаторно-курортними путівками   проводиться  шляхом безготівкового  перерахування коштів санаторно-курортним закладам, які мають ліцензію на провадження господарської діяльності з медичної практики, за надані послуги  відповідно до укладених договорів на підставі актів приймання - передачі послуг у розмірі встановленої граничної вартості путівки. Якщо вартість путівки нижча за граничну – не більше від фактичної вартості путівки.</w:t>
      </w:r>
    </w:p>
    <w:p w14:paraId="1C9C9E81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F7978C1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1.5.Гранична вартість путівки для забезпечення санаторно-курортним лікуванням громадян, а саме:</w:t>
      </w:r>
    </w:p>
    <w:p w14:paraId="321A5F4D" w14:textId="77777777" w:rsidR="00EC614D" w:rsidRDefault="00EC614D" w:rsidP="00EC614D">
      <w:pPr>
        <w:numPr>
          <w:ilvl w:val="0"/>
          <w:numId w:val="2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учасників бойових дій і учасників війни з числа учасників АТО та учасників, що брали/беруть участь в заходах щодо забезпечення відсічі збройної агресії російської федерації,  постраждалих учасників Революції гідності,  бійців –добровольців  та  борців за незалежність України у ХХ столітті,  становить – 18000 грн.(1000,00грн.за один ліжко-день) з податком на додану вартість;</w:t>
      </w:r>
    </w:p>
    <w:p w14:paraId="38C6E8FC" w14:textId="77777777" w:rsidR="00EC614D" w:rsidRDefault="00EC614D" w:rsidP="00EC614D">
      <w:pPr>
        <w:numPr>
          <w:ilvl w:val="0"/>
          <w:numId w:val="2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осіб з інвалідністю внаслідок війни  з числа  учасників АТО та з числа учасників, що брали/беруть участь в заходах щодо забезпечення відсічі збройної агресії російської федерації, постраждалих учасників Революції Гідності, бійців –добровольців, становить 21000грн.(1000,00грн. за один ліжко-день)  без податку на додану вартість;</w:t>
      </w:r>
    </w:p>
    <w:p w14:paraId="41E4E77C" w14:textId="77777777" w:rsidR="00EC614D" w:rsidRDefault="00EC614D" w:rsidP="00EC614D">
      <w:pPr>
        <w:numPr>
          <w:ilvl w:val="0"/>
          <w:numId w:val="2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осіб з інвалідністю внаслідок війни з наслідками травм і захворювання хребта та спинного мозку з числа  учасників АТО та з числа учасників, що брали/беруть участь в заходах щодо забезпечення відсічі збройної агресії російської федерації, постраждалих учасників Революції Гідності, бійців –добровольців  35000,00грн.(1000,  </w:t>
      </w:r>
      <w:proofErr w:type="spellStart"/>
      <w:r>
        <w:rPr>
          <w:rFonts w:ascii="Times New Roman" w:hAnsi="Times New Roman"/>
          <w:sz w:val="28"/>
        </w:rPr>
        <w:t>грн.за</w:t>
      </w:r>
      <w:proofErr w:type="spellEnd"/>
      <w:r>
        <w:rPr>
          <w:rFonts w:ascii="Times New Roman" w:hAnsi="Times New Roman"/>
          <w:sz w:val="28"/>
        </w:rPr>
        <w:t xml:space="preserve"> один ліжко-день) без податку на додану вартість. </w:t>
      </w:r>
    </w:p>
    <w:p w14:paraId="05915505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3377538B" w14:textId="77777777" w:rsidR="00EC614D" w:rsidRDefault="00EC614D" w:rsidP="00EC614D">
      <w:pPr>
        <w:pStyle w:val="a8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забезпечення санаторно-курортним лікуванням</w:t>
      </w:r>
    </w:p>
    <w:p w14:paraId="03CCD437" w14:textId="77777777" w:rsidR="00EC614D" w:rsidRDefault="00EC614D" w:rsidP="00EC614D">
      <w:pPr>
        <w:pStyle w:val="a8"/>
        <w:tabs>
          <w:tab w:val="left" w:pos="567"/>
          <w:tab w:val="left" w:pos="709"/>
          <w:tab w:val="left" w:pos="993"/>
        </w:tabs>
        <w:suppressAutoHyphens/>
        <w:spacing w:after="0" w:line="240" w:lineRule="auto"/>
        <w:ind w:left="927"/>
        <w:rPr>
          <w:rFonts w:ascii="Times New Roman" w:hAnsi="Times New Roman"/>
          <w:sz w:val="28"/>
        </w:rPr>
      </w:pPr>
    </w:p>
    <w:p w14:paraId="63F5F7DA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2.1.Відповідно до цього Порядку безоплатними путівками до санаторно-курортних закладів згідно з медичними рекомендаціями в порядку черговості забезпечуються:</w:t>
      </w:r>
    </w:p>
    <w:p w14:paraId="6E325709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1" w:name="n14"/>
      <w:bookmarkEnd w:id="1"/>
      <w:r>
        <w:rPr>
          <w:rFonts w:ascii="Times New Roman" w:hAnsi="Times New Roman"/>
          <w:sz w:val="28"/>
        </w:rPr>
        <w:t>1) учасники бойових дій – не частіше ніж один раз на  рік  строком на 18 днів;</w:t>
      </w:r>
    </w:p>
    <w:p w14:paraId="1C41E33E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2" w:name="n15"/>
      <w:bookmarkEnd w:id="2"/>
      <w:r>
        <w:rPr>
          <w:rFonts w:ascii="Times New Roman" w:hAnsi="Times New Roman"/>
          <w:sz w:val="28"/>
        </w:rPr>
        <w:t>2) особи з інвалідністю внаслідок війни - позачергово щороку строком на 21 день;</w:t>
      </w:r>
    </w:p>
    <w:p w14:paraId="26B77573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постраждалі учасники Революції Гідності та борці за незалежність України у ХХ столітті – не частіше ніж один раз на рік  строком на 18 днів;</w:t>
      </w:r>
    </w:p>
    <w:p w14:paraId="672191E5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учасники війни - не частіше ніж один раз на два роки   строком на 18 днів;</w:t>
      </w:r>
    </w:p>
    <w:p w14:paraId="0DE6E539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особи  з інвалідністю внаслідок війни із захворюваннями нервової системи (із наслідками травм і захворювання хребта та спинного мозку)- </w:t>
      </w:r>
      <w:r>
        <w:rPr>
          <w:rFonts w:ascii="Times New Roman" w:hAnsi="Times New Roman"/>
          <w:sz w:val="28"/>
        </w:rPr>
        <w:lastRenderedPageBreak/>
        <w:t xml:space="preserve">відповідно до медичних рекомендацій до санаторіїв </w:t>
      </w:r>
      <w:proofErr w:type="spellStart"/>
      <w:r>
        <w:rPr>
          <w:rFonts w:ascii="Times New Roman" w:hAnsi="Times New Roman"/>
          <w:sz w:val="28"/>
        </w:rPr>
        <w:t>спинального</w:t>
      </w:r>
      <w:proofErr w:type="spellEnd"/>
      <w:r>
        <w:rPr>
          <w:rFonts w:ascii="Times New Roman" w:hAnsi="Times New Roman"/>
          <w:sz w:val="28"/>
        </w:rPr>
        <w:t xml:space="preserve"> профілю   строком на 35 днів.</w:t>
      </w:r>
    </w:p>
    <w:p w14:paraId="6DF465D0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3F2DFE9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2.2.У разі коли особа має право на забезпечення путівкою за кількома законами, їй надається право вибору в забезпеченні путівкою за одним із них.</w:t>
      </w:r>
      <w:bookmarkStart w:id="3" w:name="n16"/>
      <w:bookmarkEnd w:id="3"/>
    </w:p>
    <w:p w14:paraId="2784D785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E4CD60B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2.3.Для одержання санаторно-курортної  путівки особи повинні перебувати на обліку в управлінні  соціального захисту населення Броварської міської ради Броварського району Київської області.</w:t>
      </w:r>
    </w:p>
    <w:p w14:paraId="54BC3DD6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Зазначені особи мають бути зареєстровані  по  Броварській міській територіальній громаді (</w:t>
      </w:r>
      <w:r>
        <w:rPr>
          <w:rFonts w:ascii="Times" w:hAnsi="Times"/>
          <w:sz w:val="28"/>
        </w:rPr>
        <w:t xml:space="preserve"> для внутрішньо переміщених осіб  відповідно до довідки про взяття на облік внутрішньо переміщеної особи).</w:t>
      </w:r>
    </w:p>
    <w:p w14:paraId="549D0C6A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7F217E6" w14:textId="1029E4CE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2.4.Для взяття на облік особа чи її законний представник подає заяву, медичну довідку лікувальної установи за</w:t>
      </w:r>
      <w:r>
        <w:rPr>
          <w:rFonts w:ascii="Times New Roman" w:hAnsi="Times New Roman"/>
          <w:sz w:val="28"/>
        </w:rPr>
        <w:t xml:space="preserve"> </w:t>
      </w:r>
      <w:hyperlink r:id="rId7" w:anchor="n3" w:history="1">
        <w:r w:rsidRPr="00EC614D">
          <w:rPr>
            <w:rStyle w:val="a7"/>
            <w:rFonts w:ascii="Times New Roman" w:hAnsi="Times New Roman"/>
            <w:color w:val="auto"/>
            <w:sz w:val="28"/>
            <w:u w:val="none"/>
          </w:rPr>
          <w:t>формою № 070/о</w:t>
        </w:r>
      </w:hyperlink>
      <w:r w:rsidRPr="00EC614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копію відповідного посвідчення, а учасник бойових дій, особа з інвалідністю  внаслідок війни - також копію військового квитка (за наявності) та копію документа, що підтверджує  безпосередню  участь  особи в  антитерористичній операції чи заходах із забезпечення національної безпеки і оборони, відсічі і стримуванні збройної агресії російської федерації, довідку про неотримання путівки - працюючим особам з місця роботи, а військовим пенсіонерам з місця отримання пенсії. </w:t>
      </w:r>
      <w:bookmarkStart w:id="4" w:name="n22"/>
      <w:bookmarkEnd w:id="4"/>
    </w:p>
    <w:p w14:paraId="0D8BA0C9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Під час подання копій документів особи надають їх оригінали для огляду.</w:t>
      </w:r>
    </w:p>
    <w:p w14:paraId="40A3E469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A7E5C1F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2.5.Документи подаються до управління соціального захисту населення Броварської міської ради Броварського району Київської області(далі –Управління).</w:t>
      </w:r>
    </w:p>
    <w:p w14:paraId="0CA0F226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57649F7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2.6.Особа, яка перебуває на обліку для забезпечення санаторно-курортним лікуванням в Управлінні, але в поточному році одержала безоплатну путівку,  знімається з обліку.</w:t>
      </w:r>
    </w:p>
    <w:p w14:paraId="76003802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Компенсація за доплату, пов’язану з поліпшенням умов проживання в санаторії, та за продовження строку лікування не здійснюється.</w:t>
      </w:r>
    </w:p>
    <w:p w14:paraId="0171962C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D9AC9C2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2.7.Особи  мають право вільного вибору санаторно-курортного закладу відповідного профілю лікування.</w:t>
      </w:r>
    </w:p>
    <w:p w14:paraId="363B0506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13C8BA1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2.8.З метою забезпечення осіб путівками санаторно-курортний заклад подає Управлінню :</w:t>
      </w:r>
    </w:p>
    <w:p w14:paraId="5AC547CC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5" w:name="n70"/>
      <w:bookmarkEnd w:id="5"/>
      <w:r>
        <w:rPr>
          <w:rFonts w:ascii="Times New Roman" w:hAnsi="Times New Roman"/>
          <w:sz w:val="28"/>
        </w:rPr>
        <w:t>- підтвердження про наявність у нього ліцензії на провадження господарської діяльності з медичної практики та присвоєння вищої або першої акредитаційної категорії;</w:t>
      </w:r>
    </w:p>
    <w:p w14:paraId="5D6052AC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6" w:name="n71"/>
      <w:bookmarkEnd w:id="6"/>
      <w:r>
        <w:rPr>
          <w:rFonts w:ascii="Times New Roman" w:hAnsi="Times New Roman"/>
          <w:sz w:val="28"/>
        </w:rPr>
        <w:lastRenderedPageBreak/>
        <w:t>-  гарантійний лист про згоду на лікування за відповідним профілем осіб (із зазначенням дати заїзду щодо кожної особи) та про готовність до укладення угоди;</w:t>
      </w:r>
    </w:p>
    <w:p w14:paraId="53506A19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7" w:name="n72"/>
      <w:bookmarkEnd w:id="7"/>
      <w:r>
        <w:rPr>
          <w:rFonts w:ascii="Times New Roman" w:hAnsi="Times New Roman"/>
          <w:sz w:val="28"/>
        </w:rPr>
        <w:t>-   інформацію про умови проживання та харчування;</w:t>
      </w:r>
    </w:p>
    <w:p w14:paraId="4F032436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8" w:name="n73"/>
      <w:bookmarkEnd w:id="8"/>
      <w:r>
        <w:rPr>
          <w:rFonts w:ascii="Times New Roman" w:hAnsi="Times New Roman"/>
          <w:sz w:val="28"/>
        </w:rPr>
        <w:t>- перелік послуг, що можуть надаватись особі за період санаторно-курортного лікування відповідно до медичних рекомендацій;</w:t>
      </w:r>
    </w:p>
    <w:p w14:paraId="4691115F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9" w:name="n74"/>
      <w:bookmarkEnd w:id="9"/>
      <w:r>
        <w:rPr>
          <w:rFonts w:ascii="Times New Roman" w:hAnsi="Times New Roman"/>
          <w:sz w:val="28"/>
        </w:rPr>
        <w:t>-   інформацію про вартість путівки.</w:t>
      </w:r>
    </w:p>
    <w:p w14:paraId="4654369D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10" w:name="n75"/>
      <w:bookmarkEnd w:id="10"/>
      <w:r>
        <w:rPr>
          <w:rFonts w:ascii="Times New Roman" w:hAnsi="Times New Roman"/>
          <w:sz w:val="28"/>
        </w:rPr>
        <w:t xml:space="preserve">     Управління ознайомлює з поданою інформацією осіб, які у десятиденний строк повідомляють  про згоду на отримання путівки або відмову від неї.</w:t>
      </w:r>
      <w:bookmarkStart w:id="11" w:name="n76"/>
      <w:bookmarkEnd w:id="11"/>
    </w:p>
    <w:p w14:paraId="27BFFB5B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разі отримання від санаторно-курортного закладу, обраного особою, відмови у її прийнятті на санаторно-курортне лікування Управління інформує про це особу та пропонує їй обрати інший заклад.</w:t>
      </w:r>
    </w:p>
    <w:p w14:paraId="0B1A8F21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4F199E4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2.9. Управління, санаторно-курортний заклад та особи укладають договір у трьох примірниках (один - для Управління, другий - для санаторно-курортного закладу, третій - для особи).</w:t>
      </w:r>
    </w:p>
    <w:p w14:paraId="13A97C73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12" w:name="n78"/>
      <w:bookmarkEnd w:id="12"/>
      <w:r>
        <w:rPr>
          <w:rFonts w:ascii="Times New Roman" w:hAnsi="Times New Roman"/>
          <w:sz w:val="28"/>
        </w:rPr>
        <w:t>Усі примірники договору, підписані начальником Управління та особою і скріплені печаткою, передаються особі для подальшої передачі санаторно-курортному закладу.</w:t>
      </w:r>
    </w:p>
    <w:p w14:paraId="6817F93A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Після прибуття особи до відповідного санаторно-курортного закладу керівник такого закладу підписує і скріплює печаткою всі примірники договору,  після чого заклад  надсилає один примірник  договору поштовим відправленням Управлінню, другий – передає особі, третій - залишає на зберіганні у закладі.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C121C6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5E39A4DC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  Після оздоровлення особи  подають Управлінню зворотний талон путівки або інший документ, що підтверджує проходження лікування в санаторно-курортному закладі за профілем захворювання, за яким їм видано довідку для отримання путівки.</w:t>
      </w:r>
    </w:p>
    <w:p w14:paraId="6476768B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такому документі  зазначається  прізвище, ім’я по батькові особи, строк перебування в закладі, завірений підписом керівника та скріплений печаткою  такого закладу.</w:t>
      </w:r>
    </w:p>
    <w:p w14:paraId="2FAE9E8B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05117D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2.11. Після надання   особам послуг санаторно-курортного лікування  заклад   подає до Управління  акт приймання - передачі  послуг щодо проведення розрахунків  за результатами надання  послуг санаторно-курортного лікування згідно з умовами договору.</w:t>
      </w:r>
      <w:bookmarkStart w:id="13" w:name="n82"/>
      <w:bookmarkEnd w:id="13"/>
    </w:p>
    <w:p w14:paraId="327CBDD4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разі дострокового вибуття особи із санаторно-курортного закладу Управління проводить оплату за використану  частину путівки.</w:t>
      </w:r>
    </w:p>
    <w:p w14:paraId="768B4A8D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14" w:name="n83"/>
      <w:bookmarkEnd w:id="14"/>
      <w:r>
        <w:rPr>
          <w:rFonts w:ascii="Times New Roman" w:hAnsi="Times New Roman"/>
          <w:sz w:val="28"/>
        </w:rPr>
        <w:t>Кошти за  невикористану частину путівки (невикористані ліжко-дні) Управління закладу не сплачує.</w:t>
      </w:r>
    </w:p>
    <w:p w14:paraId="58B7E993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15" w:name="n84"/>
      <w:bookmarkEnd w:id="15"/>
      <w:r>
        <w:rPr>
          <w:rFonts w:ascii="Times New Roman" w:hAnsi="Times New Roman"/>
          <w:sz w:val="28"/>
        </w:rPr>
        <w:lastRenderedPageBreak/>
        <w:t>Відповідальність за недостовірність інформації про кількість невикористаних ліжко-днів несе санаторно-курортний заклад відповідно до закону.</w:t>
      </w:r>
    </w:p>
    <w:p w14:paraId="22888B0A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16" w:name="n85"/>
      <w:bookmarkEnd w:id="16"/>
      <w:r>
        <w:rPr>
          <w:rFonts w:ascii="Times New Roman" w:hAnsi="Times New Roman"/>
          <w:sz w:val="28"/>
        </w:rPr>
        <w:t>Останнім днем періоду перебування осіб у санаторно-курортних закладах є 15 грудня поточного бюджетного року (включно), що є датою виїзду із закладу.</w:t>
      </w:r>
    </w:p>
    <w:p w14:paraId="6B4AC1EB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DFE328F" w14:textId="77777777" w:rsidR="00EC614D" w:rsidRDefault="00EC614D" w:rsidP="00EC614D">
      <w:pPr>
        <w:pStyle w:val="a8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Заключні положення</w:t>
      </w:r>
    </w:p>
    <w:p w14:paraId="0BE657DE" w14:textId="77777777" w:rsidR="00EC614D" w:rsidRDefault="00EC614D" w:rsidP="00EC614D">
      <w:pPr>
        <w:pStyle w:val="a8"/>
        <w:tabs>
          <w:tab w:val="left" w:pos="993"/>
        </w:tabs>
        <w:suppressAutoHyphens/>
        <w:spacing w:after="0" w:line="240" w:lineRule="auto"/>
        <w:ind w:left="927"/>
        <w:rPr>
          <w:rFonts w:ascii="Times New Roman" w:hAnsi="Times New Roman"/>
          <w:sz w:val="28"/>
        </w:rPr>
      </w:pPr>
    </w:p>
    <w:p w14:paraId="1EC590CE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3.1.Відповідальність за нецільове використання коштів покладається на управління соціального захисту населення Броварської міської ради Броварського району Київської області.</w:t>
      </w:r>
    </w:p>
    <w:p w14:paraId="1C50E84F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6ECDE63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281C64F1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64593762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4DAE8F88" w14:textId="77777777" w:rsidR="00EC614D" w:rsidRDefault="00EC614D" w:rsidP="00EC614D">
      <w:pPr>
        <w:tabs>
          <w:tab w:val="left" w:pos="993"/>
        </w:tabs>
        <w:suppressAutoHyphens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 Ігор  САПОЖКО</w:t>
      </w:r>
    </w:p>
    <w:permEnd w:id="1"/>
    <w:p w14:paraId="5FF0D8BD" w14:textId="1680E2F9" w:rsidR="004F7CAD" w:rsidRPr="00EE06C3" w:rsidRDefault="004F7CAD" w:rsidP="00EC61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A4C98" w14:textId="77777777" w:rsidR="00D12AAD" w:rsidRDefault="00D12AAD">
      <w:pPr>
        <w:spacing w:after="0" w:line="240" w:lineRule="auto"/>
      </w:pPr>
      <w:r>
        <w:separator/>
      </w:r>
    </w:p>
  </w:endnote>
  <w:endnote w:type="continuationSeparator" w:id="0">
    <w:p w14:paraId="6A7CF08C" w14:textId="77777777" w:rsidR="00D12AAD" w:rsidRDefault="00D1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12AA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9ADF0" w14:textId="77777777" w:rsidR="00D12AAD" w:rsidRDefault="00D12AAD">
      <w:pPr>
        <w:spacing w:after="0" w:line="240" w:lineRule="auto"/>
      </w:pPr>
      <w:r>
        <w:separator/>
      </w:r>
    </w:p>
  </w:footnote>
  <w:footnote w:type="continuationSeparator" w:id="0">
    <w:p w14:paraId="2F72C8BC" w14:textId="77777777" w:rsidR="00D12AAD" w:rsidRDefault="00D1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12A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B749DF8"/>
    <w:lvl w:ilvl="0" w:tplc="A2BC7948">
      <w:start w:val="1"/>
      <w:numFmt w:val="bullet"/>
      <w:lvlText w:val=""/>
      <w:lvlJc w:val="left"/>
      <w:pPr>
        <w:spacing w:line="240" w:lineRule="auto"/>
        <w:ind w:left="1287" w:hanging="360"/>
      </w:pPr>
      <w:rPr>
        <w:rFonts w:ascii="Calibri" w:hAnsi="Calibri"/>
      </w:rPr>
    </w:lvl>
    <w:lvl w:ilvl="1" w:tplc="2DD84670">
      <w:start w:val="1"/>
      <w:numFmt w:val="bullet"/>
      <w:lvlText w:val="o"/>
      <w:lvlJc w:val="left"/>
      <w:pPr>
        <w:spacing w:line="240" w:lineRule="auto"/>
        <w:ind w:left="2007" w:hanging="360"/>
      </w:pPr>
      <w:rPr>
        <w:rFonts w:ascii="Courier New" w:hAnsi="Courier New"/>
      </w:rPr>
    </w:lvl>
    <w:lvl w:ilvl="2" w:tplc="87FEA23E">
      <w:start w:val="1"/>
      <w:numFmt w:val="bullet"/>
      <w:lvlText w:val=""/>
      <w:lvlJc w:val="left"/>
      <w:pPr>
        <w:spacing w:line="240" w:lineRule="auto"/>
        <w:ind w:left="2727" w:hanging="360"/>
      </w:pPr>
      <w:rPr>
        <w:rFonts w:ascii="Calibri" w:hAnsi="Calibri"/>
      </w:rPr>
    </w:lvl>
    <w:lvl w:ilvl="3" w:tplc="94621F8A">
      <w:start w:val="1"/>
      <w:numFmt w:val="bullet"/>
      <w:lvlText w:val=""/>
      <w:lvlJc w:val="left"/>
      <w:pPr>
        <w:spacing w:line="240" w:lineRule="auto"/>
        <w:ind w:left="3447" w:hanging="360"/>
      </w:pPr>
      <w:rPr>
        <w:rFonts w:ascii="Calibri" w:hAnsi="Calibri"/>
      </w:rPr>
    </w:lvl>
    <w:lvl w:ilvl="4" w:tplc="3E884F7A">
      <w:start w:val="1"/>
      <w:numFmt w:val="bullet"/>
      <w:lvlText w:val="o"/>
      <w:lvlJc w:val="left"/>
      <w:pPr>
        <w:spacing w:line="240" w:lineRule="auto"/>
        <w:ind w:left="4167" w:hanging="360"/>
      </w:pPr>
      <w:rPr>
        <w:rFonts w:ascii="Courier New" w:hAnsi="Courier New"/>
      </w:rPr>
    </w:lvl>
    <w:lvl w:ilvl="5" w:tplc="79F8A30A">
      <w:start w:val="1"/>
      <w:numFmt w:val="bullet"/>
      <w:lvlText w:val=""/>
      <w:lvlJc w:val="left"/>
      <w:pPr>
        <w:spacing w:line="240" w:lineRule="auto"/>
        <w:ind w:left="4887" w:hanging="360"/>
      </w:pPr>
      <w:rPr>
        <w:rFonts w:ascii="Calibri" w:hAnsi="Calibri"/>
      </w:rPr>
    </w:lvl>
    <w:lvl w:ilvl="6" w:tplc="57B0621A">
      <w:start w:val="1"/>
      <w:numFmt w:val="bullet"/>
      <w:lvlText w:val=""/>
      <w:lvlJc w:val="left"/>
      <w:pPr>
        <w:spacing w:line="240" w:lineRule="auto"/>
        <w:ind w:left="5607" w:hanging="360"/>
      </w:pPr>
      <w:rPr>
        <w:rFonts w:ascii="Calibri" w:hAnsi="Calibri"/>
      </w:rPr>
    </w:lvl>
    <w:lvl w:ilvl="7" w:tplc="DC88F570">
      <w:start w:val="1"/>
      <w:numFmt w:val="bullet"/>
      <w:lvlText w:val="o"/>
      <w:lvlJc w:val="left"/>
      <w:pPr>
        <w:spacing w:line="240" w:lineRule="auto"/>
        <w:ind w:left="6327" w:hanging="360"/>
      </w:pPr>
      <w:rPr>
        <w:rFonts w:ascii="Courier New" w:hAnsi="Courier New"/>
      </w:rPr>
    </w:lvl>
    <w:lvl w:ilvl="8" w:tplc="96048A76">
      <w:start w:val="1"/>
      <w:numFmt w:val="bullet"/>
      <w:lvlText w:val=""/>
      <w:lvlJc w:val="left"/>
      <w:pPr>
        <w:spacing w:line="240" w:lineRule="auto"/>
        <w:ind w:left="7047" w:hanging="360"/>
      </w:pPr>
      <w:rPr>
        <w:rFonts w:ascii="Calibri" w:hAnsi="Calibri"/>
      </w:rPr>
    </w:lvl>
  </w:abstractNum>
  <w:abstractNum w:abstractNumId="1" w15:restartNumberingAfterBreak="0">
    <w:nsid w:val="0C0A7B1D"/>
    <w:multiLevelType w:val="hybridMultilevel"/>
    <w:tmpl w:val="C8D2C66A"/>
    <w:lvl w:ilvl="0" w:tplc="451E1E0C">
      <w:start w:val="1"/>
      <w:numFmt w:val="decimal"/>
      <w:lvlText w:val="%1."/>
      <w:lvlJc w:val="left"/>
      <w:pPr>
        <w:ind w:left="927" w:hanging="360"/>
      </w:pPr>
    </w:lvl>
    <w:lvl w:ilvl="1" w:tplc="0122C594">
      <w:start w:val="1"/>
      <w:numFmt w:val="lowerLetter"/>
      <w:lvlText w:val="%2."/>
      <w:lvlJc w:val="left"/>
      <w:pPr>
        <w:ind w:left="1647" w:hanging="360"/>
      </w:pPr>
    </w:lvl>
    <w:lvl w:ilvl="2" w:tplc="517442BE">
      <w:start w:val="1"/>
      <w:numFmt w:val="lowerRoman"/>
      <w:lvlText w:val="%3."/>
      <w:lvlJc w:val="right"/>
      <w:pPr>
        <w:ind w:left="2367" w:hanging="180"/>
      </w:pPr>
    </w:lvl>
    <w:lvl w:ilvl="3" w:tplc="FFB432C6">
      <w:start w:val="1"/>
      <w:numFmt w:val="decimal"/>
      <w:lvlText w:val="%4."/>
      <w:lvlJc w:val="left"/>
      <w:pPr>
        <w:ind w:left="3087" w:hanging="360"/>
      </w:pPr>
    </w:lvl>
    <w:lvl w:ilvl="4" w:tplc="4306A01E">
      <w:start w:val="1"/>
      <w:numFmt w:val="lowerLetter"/>
      <w:lvlText w:val="%5."/>
      <w:lvlJc w:val="left"/>
      <w:pPr>
        <w:ind w:left="3807" w:hanging="360"/>
      </w:pPr>
    </w:lvl>
    <w:lvl w:ilvl="5" w:tplc="14266B96">
      <w:start w:val="1"/>
      <w:numFmt w:val="lowerRoman"/>
      <w:lvlText w:val="%6."/>
      <w:lvlJc w:val="right"/>
      <w:pPr>
        <w:ind w:left="4527" w:hanging="180"/>
      </w:pPr>
    </w:lvl>
    <w:lvl w:ilvl="6" w:tplc="EC6CAC52">
      <w:start w:val="1"/>
      <w:numFmt w:val="decimal"/>
      <w:lvlText w:val="%7."/>
      <w:lvlJc w:val="left"/>
      <w:pPr>
        <w:ind w:left="5247" w:hanging="360"/>
      </w:pPr>
    </w:lvl>
    <w:lvl w:ilvl="7" w:tplc="58B6A96E">
      <w:start w:val="1"/>
      <w:numFmt w:val="lowerLetter"/>
      <w:lvlText w:val="%8."/>
      <w:lvlJc w:val="left"/>
      <w:pPr>
        <w:ind w:left="5967" w:hanging="360"/>
      </w:pPr>
    </w:lvl>
    <w:lvl w:ilvl="8" w:tplc="7FD0B4C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12AAD"/>
    <w:rsid w:val="00EC614D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styleId="a7">
    <w:name w:val="Hyperlink"/>
    <w:basedOn w:val="a0"/>
    <w:uiPriority w:val="99"/>
    <w:semiHidden/>
    <w:unhideWhenUsed/>
    <w:rsid w:val="00EC614D"/>
    <w:rPr>
      <w:color w:val="0000FF" w:themeColor="hyperlink"/>
      <w:u w:val="single"/>
    </w:rPr>
  </w:style>
  <w:style w:type="paragraph" w:styleId="a8">
    <w:name w:val="List Paragraph"/>
    <w:basedOn w:val="a"/>
    <w:qFormat/>
    <w:rsid w:val="00EC614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z0680-12/paran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46B2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46B2A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1635</Words>
  <Characters>9320</Characters>
  <Application>Microsoft Office Word</Application>
  <DocSecurity>8</DocSecurity>
  <Lines>77</Lines>
  <Paragraphs>21</Paragraphs>
  <ScaleCrop>false</ScaleCrop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2023-06-13T08:01:00Z</dcterms:modified>
</cp:coreProperties>
</file>