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3A" w:rsidRDefault="00C56C3A" w:rsidP="00C56C3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ПОЯСНЮВАЛЬНА ЗАПИСКА</w:t>
      </w:r>
    </w:p>
    <w:p w:rsidR="00C56C3A" w:rsidRDefault="00C56C3A" w:rsidP="00C56C3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C3A" w:rsidRDefault="00C56C3A" w:rsidP="00C56C3A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До проекту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:</w:t>
      </w:r>
    </w:p>
    <w:p w:rsidR="00C56C3A" w:rsidRDefault="00C56C3A" w:rsidP="00C56C3A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Розпорядження «</w:t>
      </w:r>
      <w:r w:rsidRPr="00C56C3A">
        <w:rPr>
          <w:rFonts w:ascii="Times New Roman" w:hAnsi="Times New Roman"/>
          <w:i/>
          <w:sz w:val="28"/>
          <w:szCs w:val="28"/>
          <w:lang w:val="uk-UA"/>
        </w:rPr>
        <w:t>Про створення спільної  робочої групи щодо пере</w:t>
      </w:r>
      <w:r w:rsidR="00EA6946">
        <w:rPr>
          <w:rFonts w:ascii="Times New Roman" w:hAnsi="Times New Roman"/>
          <w:i/>
          <w:sz w:val="28"/>
          <w:szCs w:val="28"/>
          <w:lang w:val="uk-UA"/>
        </w:rPr>
        <w:t>вірки надання платних послуг Комунальним неприбутковим підприємством Броварської районної ради</w:t>
      </w:r>
      <w:r w:rsidR="00D01E55">
        <w:rPr>
          <w:rFonts w:ascii="Times New Roman" w:hAnsi="Times New Roman"/>
          <w:i/>
          <w:sz w:val="28"/>
          <w:szCs w:val="28"/>
          <w:lang w:val="uk-UA"/>
        </w:rPr>
        <w:t xml:space="preserve"> Київської області</w:t>
      </w:r>
      <w:r w:rsidR="00EA6946">
        <w:rPr>
          <w:rFonts w:ascii="Times New Roman" w:hAnsi="Times New Roman"/>
          <w:i/>
          <w:sz w:val="28"/>
          <w:szCs w:val="28"/>
          <w:lang w:val="uk-UA"/>
        </w:rPr>
        <w:t xml:space="preserve"> та Броварської міської ради</w:t>
      </w:r>
      <w:r w:rsidRPr="00C56C3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D01E55">
        <w:rPr>
          <w:rFonts w:ascii="Times New Roman" w:hAnsi="Times New Roman"/>
          <w:i/>
          <w:sz w:val="28"/>
          <w:szCs w:val="28"/>
          <w:lang w:val="uk-UA"/>
        </w:rPr>
        <w:t xml:space="preserve">Київської області </w:t>
      </w:r>
      <w:r w:rsidRPr="00C56C3A">
        <w:rPr>
          <w:rFonts w:ascii="Times New Roman" w:hAnsi="Times New Roman"/>
          <w:i/>
          <w:sz w:val="28"/>
          <w:szCs w:val="28"/>
          <w:lang w:val="uk-UA"/>
        </w:rPr>
        <w:t>«Броварська б</w:t>
      </w:r>
      <w:r>
        <w:rPr>
          <w:rFonts w:ascii="Times New Roman" w:hAnsi="Times New Roman"/>
          <w:i/>
          <w:sz w:val="28"/>
          <w:szCs w:val="28"/>
          <w:lang w:val="uk-UA"/>
        </w:rPr>
        <w:t>агатопрофільна клінічна лікарня»</w:t>
      </w:r>
      <w:r w:rsidR="00201FCA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C56C3A" w:rsidRDefault="00C56C3A" w:rsidP="00C56C3A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C56C3A" w:rsidRPr="001C53C7" w:rsidRDefault="00C56C3A" w:rsidP="001C53C7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Обґрунтування необхідності прийняття розпорядження 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–</w:t>
      </w:r>
      <w:r w:rsidR="001C53C7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="001C53C7">
        <w:rPr>
          <w:rFonts w:ascii="Times New Roman" w:hAnsi="Times New Roman"/>
          <w:bCs/>
          <w:i/>
          <w:sz w:val="28"/>
          <w:szCs w:val="28"/>
          <w:lang w:val="uk-UA"/>
        </w:rPr>
        <w:t>відповідно до</w:t>
      </w:r>
      <w:r w:rsidR="001C53C7" w:rsidRPr="001C53C7">
        <w:rPr>
          <w:rFonts w:ascii="Times New Roman" w:hAnsi="Times New Roman"/>
          <w:bCs/>
          <w:i/>
          <w:sz w:val="28"/>
          <w:szCs w:val="28"/>
          <w:lang w:val="uk-UA"/>
        </w:rPr>
        <w:t xml:space="preserve"> законів України «Про місцеві державні адміністрації», «Про місцеве самоврядування в Україні», </w:t>
      </w:r>
      <w:r w:rsidR="005014AD" w:rsidRPr="005014AD">
        <w:rPr>
          <w:rFonts w:ascii="Times New Roman" w:hAnsi="Times New Roman"/>
          <w:bCs/>
          <w:i/>
          <w:sz w:val="28"/>
          <w:szCs w:val="28"/>
          <w:lang w:val="uk-UA"/>
        </w:rPr>
        <w:t xml:space="preserve">Закон 2168 - </w:t>
      </w:r>
      <w:r w:rsidR="005014AD" w:rsidRPr="005014AD">
        <w:rPr>
          <w:rFonts w:ascii="Times New Roman" w:hAnsi="Times New Roman"/>
          <w:bCs/>
          <w:i/>
          <w:sz w:val="28"/>
          <w:szCs w:val="28"/>
        </w:rPr>
        <w:t>VIII</w:t>
      </w:r>
      <w:r w:rsidR="005014AD" w:rsidRPr="005014AD">
        <w:rPr>
          <w:rFonts w:ascii="Times New Roman" w:hAnsi="Times New Roman"/>
          <w:bCs/>
          <w:i/>
          <w:sz w:val="28"/>
          <w:szCs w:val="28"/>
          <w:lang w:val="uk-UA"/>
        </w:rPr>
        <w:t xml:space="preserve"> "Про державні фінансові гарантії медичного обслуговування населення"</w:t>
      </w:r>
      <w:r w:rsidR="005014AD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="001C53C7" w:rsidRPr="001C53C7">
        <w:rPr>
          <w:rFonts w:ascii="Times New Roman" w:hAnsi="Times New Roman"/>
          <w:bCs/>
          <w:i/>
          <w:sz w:val="28"/>
          <w:szCs w:val="28"/>
          <w:lang w:val="uk-UA"/>
        </w:rPr>
        <w:t>на виконання рішення спільної наради Броварської рай</w:t>
      </w:r>
      <w:r w:rsidR="007C3E06">
        <w:rPr>
          <w:rFonts w:ascii="Times New Roman" w:hAnsi="Times New Roman"/>
          <w:bCs/>
          <w:i/>
          <w:sz w:val="28"/>
          <w:szCs w:val="28"/>
          <w:lang w:val="uk-UA"/>
        </w:rPr>
        <w:t xml:space="preserve">онної </w:t>
      </w:r>
      <w:r w:rsidR="001C53C7" w:rsidRPr="001C53C7">
        <w:rPr>
          <w:rFonts w:ascii="Times New Roman" w:hAnsi="Times New Roman"/>
          <w:bCs/>
          <w:i/>
          <w:sz w:val="28"/>
          <w:szCs w:val="28"/>
          <w:lang w:val="uk-UA"/>
        </w:rPr>
        <w:t>держа</w:t>
      </w:r>
      <w:r w:rsidR="007C3E06">
        <w:rPr>
          <w:rFonts w:ascii="Times New Roman" w:hAnsi="Times New Roman"/>
          <w:bCs/>
          <w:i/>
          <w:sz w:val="28"/>
          <w:szCs w:val="28"/>
          <w:lang w:val="uk-UA"/>
        </w:rPr>
        <w:t>вної а</w:t>
      </w:r>
      <w:r w:rsidR="001C53C7" w:rsidRPr="001C53C7">
        <w:rPr>
          <w:rFonts w:ascii="Times New Roman" w:hAnsi="Times New Roman"/>
          <w:bCs/>
          <w:i/>
          <w:sz w:val="28"/>
          <w:szCs w:val="28"/>
          <w:lang w:val="uk-UA"/>
        </w:rPr>
        <w:t>дміністрації</w:t>
      </w:r>
      <w:r w:rsidR="007C3E06">
        <w:rPr>
          <w:rFonts w:ascii="Times New Roman" w:hAnsi="Times New Roman"/>
          <w:bCs/>
          <w:i/>
          <w:sz w:val="28"/>
          <w:szCs w:val="28"/>
          <w:lang w:val="uk-UA"/>
        </w:rPr>
        <w:t xml:space="preserve"> Київської області</w:t>
      </w:r>
      <w:r w:rsidR="001C53C7" w:rsidRPr="001C53C7">
        <w:rPr>
          <w:rFonts w:ascii="Times New Roman" w:hAnsi="Times New Roman"/>
          <w:bCs/>
          <w:i/>
          <w:sz w:val="28"/>
          <w:szCs w:val="28"/>
          <w:lang w:val="uk-UA"/>
        </w:rPr>
        <w:t xml:space="preserve">, </w:t>
      </w:r>
      <w:r w:rsidR="007C3E06" w:rsidRPr="001C53C7">
        <w:rPr>
          <w:rFonts w:ascii="Times New Roman" w:hAnsi="Times New Roman"/>
          <w:bCs/>
          <w:i/>
          <w:sz w:val="28"/>
          <w:szCs w:val="28"/>
          <w:lang w:val="uk-UA"/>
        </w:rPr>
        <w:t xml:space="preserve">Броварської районної ради </w:t>
      </w:r>
      <w:r w:rsidR="007C3E06">
        <w:rPr>
          <w:rFonts w:ascii="Times New Roman" w:hAnsi="Times New Roman"/>
          <w:bCs/>
          <w:i/>
          <w:sz w:val="28"/>
          <w:szCs w:val="28"/>
          <w:lang w:val="uk-UA"/>
        </w:rPr>
        <w:t xml:space="preserve">Київської області, </w:t>
      </w:r>
      <w:r w:rsidR="001C53C7" w:rsidRPr="001C53C7">
        <w:rPr>
          <w:rFonts w:ascii="Times New Roman" w:hAnsi="Times New Roman"/>
          <w:bCs/>
          <w:i/>
          <w:sz w:val="28"/>
          <w:szCs w:val="28"/>
          <w:lang w:val="uk-UA"/>
        </w:rPr>
        <w:t>Броварської міської ради</w:t>
      </w:r>
      <w:r w:rsidR="007C3E06">
        <w:rPr>
          <w:rFonts w:ascii="Times New Roman" w:hAnsi="Times New Roman"/>
          <w:bCs/>
          <w:i/>
          <w:sz w:val="28"/>
          <w:szCs w:val="28"/>
          <w:lang w:val="uk-UA"/>
        </w:rPr>
        <w:t xml:space="preserve"> Київської області</w:t>
      </w:r>
      <w:r w:rsidR="001C53C7" w:rsidRPr="001C53C7">
        <w:rPr>
          <w:rFonts w:ascii="Times New Roman" w:hAnsi="Times New Roman"/>
          <w:bCs/>
          <w:i/>
          <w:sz w:val="28"/>
          <w:szCs w:val="28"/>
          <w:lang w:val="uk-UA"/>
        </w:rPr>
        <w:t xml:space="preserve">, </w:t>
      </w:r>
      <w:r w:rsidR="000975ED">
        <w:rPr>
          <w:rFonts w:ascii="Times New Roman" w:hAnsi="Times New Roman"/>
          <w:bCs/>
          <w:i/>
          <w:sz w:val="28"/>
          <w:szCs w:val="28"/>
          <w:lang w:val="uk-UA"/>
        </w:rPr>
        <w:t xml:space="preserve">від 29.11.2018 </w:t>
      </w:r>
      <w:r w:rsidR="001C53C7" w:rsidRPr="001C53C7">
        <w:rPr>
          <w:rFonts w:ascii="Times New Roman" w:hAnsi="Times New Roman"/>
          <w:bCs/>
          <w:i/>
          <w:sz w:val="28"/>
          <w:szCs w:val="28"/>
          <w:lang w:val="uk-UA"/>
        </w:rPr>
        <w:t>щодо</w:t>
      </w:r>
      <w:r w:rsidR="007B1A7A" w:rsidRPr="007B1A7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7B1A7A" w:rsidRPr="007B1A7A">
        <w:rPr>
          <w:rFonts w:ascii="Times New Roman" w:hAnsi="Times New Roman"/>
          <w:bCs/>
          <w:i/>
          <w:sz w:val="28"/>
          <w:szCs w:val="28"/>
          <w:lang w:val="uk-UA"/>
        </w:rPr>
        <w:t>реагування на скарги громадян, з метою перевірки та встановлення відповідності законода</w:t>
      </w:r>
      <w:r w:rsidR="007C3E06">
        <w:rPr>
          <w:rFonts w:ascii="Times New Roman" w:hAnsi="Times New Roman"/>
          <w:bCs/>
          <w:i/>
          <w:sz w:val="28"/>
          <w:szCs w:val="28"/>
          <w:lang w:val="uk-UA"/>
        </w:rPr>
        <w:t>вству надання платних послуг Комунальним неприбутковим підприємством Броварської районної ради Київської області та Броварської міської ради Київської області</w:t>
      </w:r>
      <w:r w:rsidR="007B1A7A" w:rsidRPr="007B1A7A">
        <w:rPr>
          <w:rFonts w:ascii="Times New Roman" w:hAnsi="Times New Roman"/>
          <w:bCs/>
          <w:i/>
          <w:sz w:val="28"/>
          <w:szCs w:val="28"/>
          <w:lang w:val="uk-UA"/>
        </w:rPr>
        <w:t xml:space="preserve"> «Броварська багатопрофільна клінічна лікарня»</w:t>
      </w:r>
      <w:r w:rsidR="00201FCA">
        <w:rPr>
          <w:rFonts w:ascii="Times New Roman" w:hAnsi="Times New Roman"/>
          <w:bCs/>
          <w:i/>
          <w:sz w:val="28"/>
          <w:szCs w:val="28"/>
          <w:lang w:val="uk-UA"/>
        </w:rPr>
        <w:t>.</w:t>
      </w:r>
    </w:p>
    <w:p w:rsidR="001C53C7" w:rsidRDefault="001C53C7" w:rsidP="001C53C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C56C3A" w:rsidRPr="00D01E55" w:rsidRDefault="007374E6" w:rsidP="007374E6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64"/>
        <w:jc w:val="both"/>
        <w:outlineLvl w:val="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2. </w:t>
      </w:r>
      <w:r w:rsidR="00C56C3A" w:rsidRPr="007B1A7A">
        <w:rPr>
          <w:rFonts w:ascii="Times New Roman" w:hAnsi="Times New Roman"/>
          <w:b/>
          <w:bCs/>
          <w:sz w:val="28"/>
          <w:szCs w:val="28"/>
          <w:lang w:val="uk-UA"/>
        </w:rPr>
        <w:t>Мета і шляхи її досягнення</w:t>
      </w:r>
      <w:r w:rsidR="00C56C3A" w:rsidRPr="007B1A7A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C53C7" w:rsidRPr="007B1A7A">
        <w:rPr>
          <w:rFonts w:ascii="Times New Roman" w:hAnsi="Times New Roman"/>
          <w:bCs/>
          <w:i/>
          <w:sz w:val="28"/>
          <w:szCs w:val="28"/>
          <w:lang w:val="uk-UA"/>
        </w:rPr>
        <w:t>виконання рішення спільної наради Броварської рай</w:t>
      </w:r>
      <w:r w:rsidR="007C3E06">
        <w:rPr>
          <w:rFonts w:ascii="Times New Roman" w:hAnsi="Times New Roman"/>
          <w:bCs/>
          <w:i/>
          <w:sz w:val="28"/>
          <w:szCs w:val="28"/>
          <w:lang w:val="uk-UA"/>
        </w:rPr>
        <w:t xml:space="preserve">онної </w:t>
      </w:r>
      <w:r w:rsidR="001C53C7" w:rsidRPr="007B1A7A">
        <w:rPr>
          <w:rFonts w:ascii="Times New Roman" w:hAnsi="Times New Roman"/>
          <w:bCs/>
          <w:i/>
          <w:sz w:val="28"/>
          <w:szCs w:val="28"/>
          <w:lang w:val="uk-UA"/>
        </w:rPr>
        <w:t>держа</w:t>
      </w:r>
      <w:r w:rsidR="007C3E06">
        <w:rPr>
          <w:rFonts w:ascii="Times New Roman" w:hAnsi="Times New Roman"/>
          <w:bCs/>
          <w:i/>
          <w:sz w:val="28"/>
          <w:szCs w:val="28"/>
          <w:lang w:val="uk-UA"/>
        </w:rPr>
        <w:t>вної а</w:t>
      </w:r>
      <w:r w:rsidR="001C53C7" w:rsidRPr="007B1A7A">
        <w:rPr>
          <w:rFonts w:ascii="Times New Roman" w:hAnsi="Times New Roman"/>
          <w:bCs/>
          <w:i/>
          <w:sz w:val="28"/>
          <w:szCs w:val="28"/>
          <w:lang w:val="uk-UA"/>
        </w:rPr>
        <w:t>дміністрації</w:t>
      </w:r>
      <w:r w:rsidR="007C3E06">
        <w:rPr>
          <w:rFonts w:ascii="Times New Roman" w:hAnsi="Times New Roman"/>
          <w:bCs/>
          <w:i/>
          <w:sz w:val="28"/>
          <w:szCs w:val="28"/>
          <w:lang w:val="uk-UA"/>
        </w:rPr>
        <w:t xml:space="preserve"> Київської області</w:t>
      </w:r>
      <w:r w:rsidR="001C53C7" w:rsidRPr="007B1A7A">
        <w:rPr>
          <w:rFonts w:ascii="Times New Roman" w:hAnsi="Times New Roman"/>
          <w:bCs/>
          <w:i/>
          <w:sz w:val="28"/>
          <w:szCs w:val="28"/>
          <w:lang w:val="uk-UA"/>
        </w:rPr>
        <w:t xml:space="preserve">, </w:t>
      </w:r>
      <w:r w:rsidR="007C3E06" w:rsidRPr="007B1A7A">
        <w:rPr>
          <w:rFonts w:ascii="Times New Roman" w:hAnsi="Times New Roman"/>
          <w:bCs/>
          <w:i/>
          <w:sz w:val="28"/>
          <w:szCs w:val="28"/>
          <w:lang w:val="uk-UA"/>
        </w:rPr>
        <w:t>Броварської районної ради</w:t>
      </w:r>
      <w:r w:rsidR="007C3E06">
        <w:rPr>
          <w:rFonts w:ascii="Times New Roman" w:hAnsi="Times New Roman"/>
          <w:bCs/>
          <w:i/>
          <w:sz w:val="28"/>
          <w:szCs w:val="28"/>
          <w:lang w:val="uk-UA"/>
        </w:rPr>
        <w:t xml:space="preserve"> Київської області, </w:t>
      </w:r>
      <w:r w:rsidR="001C53C7" w:rsidRPr="007B1A7A">
        <w:rPr>
          <w:rFonts w:ascii="Times New Roman" w:hAnsi="Times New Roman"/>
          <w:bCs/>
          <w:i/>
          <w:sz w:val="28"/>
          <w:szCs w:val="28"/>
          <w:lang w:val="uk-UA"/>
        </w:rPr>
        <w:t>Броварської міської ради</w:t>
      </w:r>
      <w:r w:rsidR="007C3E06">
        <w:rPr>
          <w:rFonts w:ascii="Times New Roman" w:hAnsi="Times New Roman"/>
          <w:bCs/>
          <w:i/>
          <w:sz w:val="28"/>
          <w:szCs w:val="28"/>
          <w:lang w:val="uk-UA"/>
        </w:rPr>
        <w:t xml:space="preserve"> Київської області</w:t>
      </w:r>
      <w:r w:rsidR="001C53C7" w:rsidRPr="007B1A7A">
        <w:rPr>
          <w:rFonts w:ascii="Times New Roman" w:hAnsi="Times New Roman"/>
          <w:bCs/>
          <w:i/>
          <w:sz w:val="28"/>
          <w:szCs w:val="28"/>
          <w:lang w:val="uk-UA"/>
        </w:rPr>
        <w:t xml:space="preserve">, </w:t>
      </w:r>
      <w:r w:rsidR="000975ED">
        <w:rPr>
          <w:rFonts w:ascii="Times New Roman" w:hAnsi="Times New Roman"/>
          <w:bCs/>
          <w:i/>
          <w:sz w:val="28"/>
          <w:szCs w:val="28"/>
          <w:lang w:val="uk-UA"/>
        </w:rPr>
        <w:t>від 29.11.2018</w:t>
      </w:r>
      <w:bookmarkStart w:id="0" w:name="_GoBack"/>
      <w:bookmarkEnd w:id="0"/>
      <w:r w:rsidR="001C53C7" w:rsidRPr="007B1A7A">
        <w:rPr>
          <w:rFonts w:ascii="Times New Roman" w:hAnsi="Times New Roman"/>
          <w:bCs/>
          <w:i/>
          <w:sz w:val="28"/>
          <w:szCs w:val="28"/>
          <w:lang w:val="uk-UA"/>
        </w:rPr>
        <w:t xml:space="preserve"> щодо</w:t>
      </w:r>
      <w:r w:rsidR="007B1A7A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="007B1A7A" w:rsidRPr="007B1A7A">
        <w:rPr>
          <w:rFonts w:ascii="Times New Roman" w:hAnsi="Times New Roman"/>
          <w:bCs/>
          <w:i/>
          <w:sz w:val="28"/>
          <w:szCs w:val="28"/>
          <w:lang w:val="uk-UA"/>
        </w:rPr>
        <w:t>реагування на скарги громадян, з метою перевірки та встановлення відповідності законода</w:t>
      </w:r>
      <w:r w:rsidR="007C3E06">
        <w:rPr>
          <w:rFonts w:ascii="Times New Roman" w:hAnsi="Times New Roman"/>
          <w:bCs/>
          <w:i/>
          <w:sz w:val="28"/>
          <w:szCs w:val="28"/>
          <w:lang w:val="uk-UA"/>
        </w:rPr>
        <w:t>вству надання платних послуг Комунальним неприбутковим підприємством Броварської районної ради Київської області та Броварської міської ради Київської області</w:t>
      </w:r>
      <w:r w:rsidR="007B1A7A" w:rsidRPr="007B1A7A">
        <w:rPr>
          <w:rFonts w:ascii="Times New Roman" w:hAnsi="Times New Roman"/>
          <w:bCs/>
          <w:i/>
          <w:sz w:val="28"/>
          <w:szCs w:val="28"/>
          <w:lang w:val="uk-UA"/>
        </w:rPr>
        <w:t xml:space="preserve"> «Броварська багатопрофільна клінічна лікарня».</w:t>
      </w:r>
      <w:r w:rsidR="001C53C7" w:rsidRPr="007B1A7A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</w:p>
    <w:p w:rsidR="00D01E55" w:rsidRPr="007B1A7A" w:rsidRDefault="00D01E55" w:rsidP="007374E6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64"/>
        <w:jc w:val="both"/>
        <w:outlineLvl w:val="2"/>
        <w:rPr>
          <w:rFonts w:ascii="Times New Roman" w:hAnsi="Times New Roman"/>
          <w:sz w:val="28"/>
          <w:szCs w:val="28"/>
          <w:lang w:val="uk-UA"/>
        </w:rPr>
      </w:pPr>
    </w:p>
    <w:p w:rsidR="00C56C3A" w:rsidRPr="00097A34" w:rsidRDefault="00097A34" w:rsidP="00097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>3.</w:t>
      </w:r>
      <w:r w:rsidR="007374E6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 xml:space="preserve"> </w:t>
      </w:r>
      <w:r w:rsidR="00C56C3A" w:rsidRPr="00097A34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 xml:space="preserve">Правові аспекти: </w:t>
      </w:r>
      <w:r w:rsidR="001C53C7" w:rsidRPr="00097A34">
        <w:rPr>
          <w:rFonts w:ascii="Times New Roman" w:hAnsi="Times New Roman"/>
          <w:bCs/>
          <w:i/>
          <w:sz w:val="28"/>
          <w:szCs w:val="28"/>
          <w:lang w:val="uk-UA"/>
        </w:rPr>
        <w:t>закони України «Про мі</w:t>
      </w:r>
      <w:r w:rsidR="005014AD" w:rsidRPr="00097A34">
        <w:rPr>
          <w:rFonts w:ascii="Times New Roman" w:hAnsi="Times New Roman"/>
          <w:bCs/>
          <w:i/>
          <w:sz w:val="28"/>
          <w:szCs w:val="28"/>
          <w:lang w:val="uk-UA"/>
        </w:rPr>
        <w:t>сцеві державні адміністрації»</w:t>
      </w:r>
      <w:r w:rsidR="001C53C7" w:rsidRPr="00097A34">
        <w:rPr>
          <w:rFonts w:ascii="Times New Roman" w:hAnsi="Times New Roman"/>
          <w:bCs/>
          <w:i/>
          <w:sz w:val="28"/>
          <w:szCs w:val="28"/>
          <w:lang w:val="uk-UA"/>
        </w:rPr>
        <w:t xml:space="preserve"> «Про місцеве самоврядування в Україні»</w:t>
      </w:r>
      <w:r w:rsidR="005014AD" w:rsidRPr="00097A34">
        <w:rPr>
          <w:rFonts w:ascii="Times New Roman" w:hAnsi="Times New Roman"/>
          <w:bCs/>
          <w:i/>
          <w:sz w:val="28"/>
          <w:szCs w:val="28"/>
          <w:lang w:val="uk-UA"/>
        </w:rPr>
        <w:t xml:space="preserve"> та Закон 2168 - </w:t>
      </w:r>
      <w:r w:rsidR="005014AD" w:rsidRPr="00097A34">
        <w:rPr>
          <w:rFonts w:ascii="Times New Roman" w:hAnsi="Times New Roman"/>
          <w:bCs/>
          <w:i/>
          <w:sz w:val="28"/>
          <w:szCs w:val="28"/>
        </w:rPr>
        <w:t>VIII</w:t>
      </w:r>
      <w:r w:rsidR="005014AD" w:rsidRPr="00097A34">
        <w:rPr>
          <w:rFonts w:ascii="Times New Roman" w:hAnsi="Times New Roman"/>
          <w:bCs/>
          <w:i/>
          <w:sz w:val="28"/>
          <w:szCs w:val="28"/>
          <w:lang w:val="uk-UA"/>
        </w:rPr>
        <w:t xml:space="preserve"> "Про державні фінансові гарантії медичного обслуговування населення"</w:t>
      </w:r>
      <w:r w:rsidR="00713DB6">
        <w:rPr>
          <w:rFonts w:ascii="Times New Roman" w:hAnsi="Times New Roman"/>
          <w:bCs/>
          <w:i/>
          <w:sz w:val="28"/>
          <w:szCs w:val="28"/>
          <w:lang w:val="uk-UA"/>
        </w:rPr>
        <w:t>.</w:t>
      </w:r>
    </w:p>
    <w:p w:rsidR="005014AD" w:rsidRPr="001C53C7" w:rsidRDefault="005014AD" w:rsidP="005014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  <w:lang w:val="uk-UA"/>
        </w:rPr>
      </w:pPr>
    </w:p>
    <w:p w:rsidR="00C56C3A" w:rsidRDefault="00097A34" w:rsidP="00C56C3A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b/>
          <w:kern w:val="32"/>
          <w:sz w:val="28"/>
          <w:szCs w:val="28"/>
          <w:lang w:val="uk-UA"/>
        </w:rPr>
      </w:pPr>
      <w:r>
        <w:rPr>
          <w:rFonts w:ascii="Times New Roman" w:hAnsi="Times New Roman"/>
          <w:b/>
          <w:kern w:val="32"/>
          <w:sz w:val="28"/>
          <w:szCs w:val="28"/>
          <w:lang w:val="uk-UA"/>
        </w:rPr>
        <w:t>4</w:t>
      </w:r>
      <w:r w:rsidR="00C56C3A">
        <w:rPr>
          <w:rFonts w:ascii="Times New Roman" w:hAnsi="Times New Roman"/>
          <w:b/>
          <w:kern w:val="32"/>
          <w:sz w:val="28"/>
          <w:szCs w:val="28"/>
          <w:lang w:val="uk-UA"/>
        </w:rPr>
        <w:t>. Фінансово – економічне обґрунтування:</w:t>
      </w:r>
    </w:p>
    <w:p w:rsidR="00C56C3A" w:rsidRDefault="00C56C3A" w:rsidP="00C56C3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56C3A" w:rsidRPr="00097A34" w:rsidRDefault="00C56C3A" w:rsidP="00097A34">
      <w:pPr>
        <w:pStyle w:val="a3"/>
        <w:widowControl w:val="0"/>
        <w:numPr>
          <w:ilvl w:val="0"/>
          <w:numId w:val="5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7A34">
        <w:rPr>
          <w:rFonts w:ascii="Times New Roman" w:hAnsi="Times New Roman"/>
          <w:b/>
          <w:bCs/>
          <w:sz w:val="28"/>
          <w:szCs w:val="28"/>
          <w:lang w:val="uk-UA"/>
        </w:rPr>
        <w:t>Позиція заінтересованих органів:</w:t>
      </w:r>
    </w:p>
    <w:p w:rsidR="00C56C3A" w:rsidRDefault="00C56C3A" w:rsidP="00C56C3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56C3A" w:rsidRPr="00097A34" w:rsidRDefault="00097A34" w:rsidP="00097A34">
      <w:pPr>
        <w:pStyle w:val="a3"/>
        <w:widowControl w:val="0"/>
        <w:numPr>
          <w:ilvl w:val="0"/>
          <w:numId w:val="5"/>
        </w:numPr>
        <w:tabs>
          <w:tab w:val="left" w:pos="1428"/>
          <w:tab w:val="left" w:pos="16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7A3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56C3A" w:rsidRPr="00097A34">
        <w:rPr>
          <w:rFonts w:ascii="Times New Roman" w:hAnsi="Times New Roman"/>
          <w:b/>
          <w:bCs/>
          <w:sz w:val="28"/>
          <w:szCs w:val="28"/>
          <w:lang w:val="uk-UA"/>
        </w:rPr>
        <w:t>Регіональний аспект:</w:t>
      </w:r>
    </w:p>
    <w:p w:rsidR="00C56C3A" w:rsidRDefault="00C56C3A" w:rsidP="00C56C3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56C3A" w:rsidRDefault="00C56C3A" w:rsidP="00097A34">
      <w:pPr>
        <w:widowControl w:val="0"/>
        <w:numPr>
          <w:ilvl w:val="0"/>
          <w:numId w:val="5"/>
        </w:numPr>
        <w:tabs>
          <w:tab w:val="left" w:pos="360"/>
          <w:tab w:val="left" w:pos="1428"/>
          <w:tab w:val="left" w:pos="1605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Громадське обговорення:</w:t>
      </w:r>
    </w:p>
    <w:p w:rsidR="00C56C3A" w:rsidRDefault="00C56C3A" w:rsidP="00C56C3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56C3A" w:rsidRDefault="00C56C3A" w:rsidP="00097A34">
      <w:pPr>
        <w:widowControl w:val="0"/>
        <w:numPr>
          <w:ilvl w:val="0"/>
          <w:numId w:val="5"/>
        </w:numPr>
        <w:tabs>
          <w:tab w:val="left" w:pos="360"/>
          <w:tab w:val="left" w:pos="1428"/>
          <w:tab w:val="left" w:pos="1605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Прогноз результатів</w:t>
      </w:r>
    </w:p>
    <w:p w:rsidR="00C56C3A" w:rsidRDefault="00C56C3A" w:rsidP="00C56C3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56C3A" w:rsidRDefault="00C56C3A" w:rsidP="00C56C3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56C3A" w:rsidRDefault="00C56C3A" w:rsidP="00C56C3A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b/>
          <w:kern w:val="32"/>
          <w:sz w:val="28"/>
          <w:szCs w:val="28"/>
          <w:lang w:val="uk-UA"/>
        </w:rPr>
      </w:pPr>
      <w:r>
        <w:rPr>
          <w:rFonts w:ascii="Times New Roman" w:hAnsi="Times New Roman"/>
          <w:b/>
          <w:kern w:val="32"/>
          <w:sz w:val="28"/>
          <w:szCs w:val="28"/>
          <w:lang w:val="uk-UA"/>
        </w:rPr>
        <w:t xml:space="preserve">Начальник відділу </w:t>
      </w:r>
    </w:p>
    <w:p w:rsidR="00C56C3A" w:rsidRDefault="00C56C3A" w:rsidP="00C56C3A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b/>
          <w:kern w:val="32"/>
          <w:sz w:val="28"/>
          <w:szCs w:val="28"/>
          <w:lang w:val="uk-UA"/>
        </w:rPr>
      </w:pPr>
      <w:r>
        <w:rPr>
          <w:rFonts w:ascii="Times New Roman" w:hAnsi="Times New Roman"/>
          <w:b/>
          <w:kern w:val="32"/>
          <w:sz w:val="28"/>
          <w:szCs w:val="28"/>
          <w:lang w:val="uk-UA"/>
        </w:rPr>
        <w:t>організаційно-інформаційної діяльності</w:t>
      </w:r>
    </w:p>
    <w:p w:rsidR="00C56C3A" w:rsidRDefault="00C56C3A" w:rsidP="00C56C3A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b/>
          <w:kern w:val="32"/>
          <w:sz w:val="28"/>
          <w:szCs w:val="28"/>
          <w:lang w:val="uk-UA"/>
        </w:rPr>
      </w:pPr>
      <w:r>
        <w:rPr>
          <w:rFonts w:ascii="Times New Roman" w:hAnsi="Times New Roman"/>
          <w:b/>
          <w:kern w:val="32"/>
          <w:sz w:val="28"/>
          <w:szCs w:val="28"/>
          <w:lang w:val="uk-UA"/>
        </w:rPr>
        <w:t>та комунікацій з громадськістю</w:t>
      </w:r>
    </w:p>
    <w:p w:rsidR="00C56C3A" w:rsidRDefault="00C56C3A" w:rsidP="00C56C3A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апарату адміністрації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О.Г.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Мордач</w:t>
      </w:r>
      <w:proofErr w:type="spellEnd"/>
    </w:p>
    <w:p w:rsidR="007C3E06" w:rsidRDefault="007C3E06" w:rsidP="00C56C3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6C3A" w:rsidRDefault="00C56C3A" w:rsidP="00C56C3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“____” ___________________2018 року</w:t>
      </w:r>
    </w:p>
    <w:p w:rsidR="00DB06F4" w:rsidRDefault="00DB06F4"/>
    <w:sectPr w:rsidR="00DB06F4" w:rsidSect="007C3E0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23FA6C68"/>
    <w:multiLevelType w:val="hybridMultilevel"/>
    <w:tmpl w:val="D7A42C1E"/>
    <w:lvl w:ilvl="0" w:tplc="B460437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246DD"/>
    <w:multiLevelType w:val="hybridMultilevel"/>
    <w:tmpl w:val="B76C1B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654DF"/>
    <w:multiLevelType w:val="hybridMultilevel"/>
    <w:tmpl w:val="1FB27A80"/>
    <w:lvl w:ilvl="0" w:tplc="2A541CB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3A"/>
    <w:rsid w:val="000975ED"/>
    <w:rsid w:val="00097A34"/>
    <w:rsid w:val="001C53C7"/>
    <w:rsid w:val="00201FCA"/>
    <w:rsid w:val="002650E1"/>
    <w:rsid w:val="002F31DD"/>
    <w:rsid w:val="005014AD"/>
    <w:rsid w:val="00713DB6"/>
    <w:rsid w:val="007374E6"/>
    <w:rsid w:val="007B1A7A"/>
    <w:rsid w:val="007C3E06"/>
    <w:rsid w:val="00C56C3A"/>
    <w:rsid w:val="00D01E55"/>
    <w:rsid w:val="00DB06F4"/>
    <w:rsid w:val="00EA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E66E9-AFC3-4766-84C3-1436FA43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3C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ВОIР</dc:creator>
  <cp:keywords/>
  <dc:description/>
  <cp:lastModifiedBy>ВОIР</cp:lastModifiedBy>
  <cp:revision>11</cp:revision>
  <dcterms:created xsi:type="dcterms:W3CDTF">2018-12-11T12:47:00Z</dcterms:created>
  <dcterms:modified xsi:type="dcterms:W3CDTF">2018-12-27T12:34:00Z</dcterms:modified>
</cp:coreProperties>
</file>