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1B73AF" w14:paraId="66B77207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2 до розпорядження міського голови </w:t>
      </w:r>
    </w:p>
    <w:permEnd w:id="0"/>
    <w:p w:rsidR="001B73AF" w14:paraId="269E7732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28.09.2022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1B73AF" w14:paraId="284F8E49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1B73AF" w14:paraId="0F12473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ermStart w:id="1" w:edGrp="everyone"/>
      <w:r>
        <w:rPr>
          <w:rFonts w:ascii="Times New Roman" w:hAnsi="Times New Roman"/>
          <w:sz w:val="28"/>
          <w:szCs w:val="28"/>
        </w:rPr>
        <w:t>ПРАВИЛА</w:t>
      </w:r>
    </w:p>
    <w:p w:rsidR="001B73AF" w14:paraId="4B41A68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конфіденційності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 xml:space="preserve"> час</w:t>
      </w:r>
    </w:p>
    <w:p w:rsidR="001B73AF" w14:paraId="309F25D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оброблення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</w:p>
    <w:p w:rsidR="001B73AF" w14:paraId="647BB94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пов’язаних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</w:p>
    <w:p w:rsidR="001B73AF" w14:paraId="797F51D2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B73AF" w14:paraId="2472E99D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bookmarkStart w:id="2" w:name="_Hlk113451680"/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bookmarkEnd w:id="2"/>
    </w:p>
    <w:p w:rsidR="001B73AF" w14:paraId="6778FD7B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B73AF" w14:paraId="27A14288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</w:t>
      </w:r>
      <w:r>
        <w:rPr>
          <w:rFonts w:ascii="Times New Roman" w:hAnsi="Times New Roman"/>
          <w:sz w:val="28"/>
          <w:szCs w:val="28"/>
        </w:rPr>
        <w:t>Загальні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положення</w:t>
      </w:r>
    </w:p>
    <w:p w:rsidR="001B73AF" w14:paraId="708235FE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правила </w:t>
      </w:r>
      <w:r>
        <w:rPr>
          <w:rFonts w:ascii="Times New Roman" w:hAnsi="Times New Roman"/>
          <w:sz w:val="28"/>
          <w:szCs w:val="28"/>
        </w:rPr>
        <w:t>визначають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внутрішні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процедури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механізми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послідовність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</w:t>
      </w:r>
      <w:r>
        <w:rPr>
          <w:rFonts w:ascii="Times New Roman" w:hAnsi="Times New Roman"/>
          <w:sz w:val="28"/>
          <w:szCs w:val="28"/>
        </w:rPr>
        <w:t>чих</w:t>
      </w:r>
      <w:r>
        <w:rPr>
          <w:rFonts w:ascii="Times New Roman" w:hAnsi="Times New Roman"/>
          <w:sz w:val="28"/>
          <w:szCs w:val="28"/>
        </w:rPr>
        <w:t xml:space="preserve"> органах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виконавчі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 БМР) при </w:t>
      </w:r>
      <w:r>
        <w:rPr>
          <w:rFonts w:ascii="Times New Roman" w:hAnsi="Times New Roman"/>
          <w:sz w:val="28"/>
          <w:szCs w:val="28"/>
        </w:rPr>
        <w:t>прийнятті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попередньому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реєстрації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пов’язаних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акону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– Закон),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внутрішніми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регулярними</w:t>
      </w:r>
      <w:r>
        <w:rPr>
          <w:rFonts w:ascii="Times New Roman" w:hAnsi="Times New Roman"/>
          <w:sz w:val="28"/>
          <w:szCs w:val="28"/>
        </w:rPr>
        <w:t xml:space="preserve"> каналами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зв’язку</w:t>
      </w:r>
      <w:r>
        <w:rPr>
          <w:rFonts w:ascii="Times New Roman" w:hAnsi="Times New Roman"/>
          <w:sz w:val="28"/>
          <w:szCs w:val="28"/>
        </w:rPr>
        <w:t xml:space="preserve"> (через </w:t>
      </w:r>
      <w:r>
        <w:rPr>
          <w:rFonts w:ascii="Times New Roman" w:hAnsi="Times New Roman"/>
          <w:sz w:val="28"/>
          <w:szCs w:val="28"/>
        </w:rPr>
        <w:t>загальну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поштову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скриньку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кореспонденції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засобами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поштов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зв’язку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отримані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особистому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прийомі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).</w:t>
      </w:r>
    </w:p>
    <w:p w:rsidR="001B73AF" w14:paraId="4E5E4244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 </w:t>
      </w:r>
      <w:r>
        <w:rPr>
          <w:rFonts w:ascii="Times New Roman" w:hAnsi="Times New Roman"/>
          <w:sz w:val="28"/>
          <w:szCs w:val="28"/>
        </w:rPr>
        <w:t>цих</w:t>
      </w:r>
      <w:r>
        <w:rPr>
          <w:rFonts w:ascii="Times New Roman" w:hAnsi="Times New Roman"/>
          <w:sz w:val="28"/>
          <w:szCs w:val="28"/>
        </w:rPr>
        <w:t xml:space="preserve"> правилах </w:t>
      </w:r>
      <w:r>
        <w:rPr>
          <w:rFonts w:ascii="Times New Roman" w:hAnsi="Times New Roman"/>
          <w:sz w:val="28"/>
          <w:szCs w:val="28"/>
        </w:rPr>
        <w:t>терміни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вживаються</w:t>
      </w:r>
      <w:r>
        <w:rPr>
          <w:rFonts w:ascii="Times New Roman" w:hAnsi="Times New Roman"/>
          <w:sz w:val="28"/>
          <w:szCs w:val="28"/>
        </w:rPr>
        <w:t xml:space="preserve"> в таких </w:t>
      </w:r>
      <w:r>
        <w:rPr>
          <w:rFonts w:ascii="Times New Roman" w:hAnsi="Times New Roman"/>
          <w:sz w:val="28"/>
          <w:szCs w:val="28"/>
        </w:rPr>
        <w:t>значеннях</w:t>
      </w:r>
      <w:r>
        <w:rPr>
          <w:rFonts w:ascii="Times New Roman" w:hAnsi="Times New Roman"/>
          <w:sz w:val="28"/>
          <w:szCs w:val="28"/>
        </w:rPr>
        <w:t>:</w:t>
      </w:r>
    </w:p>
    <w:p w:rsidR="001B73AF" w14:paraId="11210140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Анонімне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пов’язаних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Закону, </w:t>
      </w:r>
      <w:r>
        <w:rPr>
          <w:rFonts w:ascii="Times New Roman" w:hAnsi="Times New Roman"/>
          <w:sz w:val="28"/>
          <w:szCs w:val="28"/>
        </w:rPr>
        <w:t>здійснене</w:t>
      </w:r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ез </w:t>
      </w:r>
      <w:r>
        <w:rPr>
          <w:rFonts w:ascii="Times New Roman" w:hAnsi="Times New Roman"/>
          <w:sz w:val="28"/>
          <w:szCs w:val="28"/>
        </w:rPr>
        <w:t>зазначення</w:t>
      </w:r>
      <w:r>
        <w:rPr>
          <w:rFonts w:ascii="Times New Roman" w:hAnsi="Times New Roman"/>
          <w:sz w:val="28"/>
          <w:szCs w:val="28"/>
        </w:rPr>
        <w:t xml:space="preserve"> авторства (</w:t>
      </w:r>
      <w:r>
        <w:rPr>
          <w:rFonts w:ascii="Times New Roman" w:hAnsi="Times New Roman"/>
          <w:sz w:val="28"/>
          <w:szCs w:val="28"/>
        </w:rPr>
        <w:t>анонімно</w:t>
      </w:r>
      <w:r>
        <w:rPr>
          <w:rFonts w:ascii="Times New Roman" w:hAnsi="Times New Roman"/>
          <w:sz w:val="28"/>
          <w:szCs w:val="28"/>
        </w:rPr>
        <w:t>);</w:t>
      </w:r>
    </w:p>
    <w:p w:rsidR="001B73AF" w14:paraId="3A399FDC" w14:textId="1870DD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, яке </w:t>
      </w:r>
      <w:r>
        <w:rPr>
          <w:rFonts w:ascii="Times New Roman" w:hAnsi="Times New Roman"/>
          <w:sz w:val="28"/>
          <w:szCs w:val="28"/>
        </w:rPr>
        <w:t>містить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можливі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пов’язаного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корупцією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правопорушення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814CAD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акону особами, </w:t>
      </w:r>
      <w:r>
        <w:rPr>
          <w:rFonts w:ascii="Times New Roman" w:hAnsi="Times New Roman"/>
          <w:sz w:val="28"/>
          <w:szCs w:val="28"/>
        </w:rPr>
        <w:t>визначеними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3 Закону;</w:t>
      </w:r>
    </w:p>
    <w:p w:rsidR="001B73AF" w14:paraId="4FB689D2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Попередній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наведеної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повідомленні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на предмет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вимогам</w:t>
      </w:r>
      <w:r>
        <w:rPr>
          <w:rFonts w:ascii="Times New Roman" w:hAnsi="Times New Roman"/>
          <w:sz w:val="28"/>
          <w:szCs w:val="28"/>
        </w:rPr>
        <w:t xml:space="preserve"> пункту 3 </w:t>
      </w:r>
      <w:r>
        <w:rPr>
          <w:rFonts w:ascii="Times New Roman" w:hAnsi="Times New Roman"/>
          <w:sz w:val="28"/>
          <w:szCs w:val="28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розділу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з метою </w:t>
      </w:r>
      <w:r>
        <w:rPr>
          <w:rFonts w:ascii="Times New Roman" w:hAnsi="Times New Roman"/>
          <w:sz w:val="28"/>
          <w:szCs w:val="28"/>
        </w:rPr>
        <w:t>визначення</w:t>
      </w:r>
      <w:r>
        <w:rPr>
          <w:rFonts w:ascii="Times New Roman" w:hAnsi="Times New Roman"/>
          <w:sz w:val="28"/>
          <w:szCs w:val="28"/>
        </w:rPr>
        <w:t xml:space="preserve"> структурного </w:t>
      </w:r>
      <w:r>
        <w:rPr>
          <w:rFonts w:ascii="Times New Roman" w:hAnsi="Times New Roman"/>
          <w:sz w:val="28"/>
          <w:szCs w:val="28"/>
        </w:rPr>
        <w:t>підрозділу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відповідального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такого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повноважень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28D22165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терміни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вживаються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значеннях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наведених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Законі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2057ECF2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можуть</w:t>
      </w:r>
      <w:r>
        <w:rPr>
          <w:rFonts w:ascii="Times New Roman" w:hAnsi="Times New Roman"/>
          <w:sz w:val="28"/>
          <w:szCs w:val="28"/>
        </w:rPr>
        <w:t xml:space="preserve"> бути </w:t>
      </w:r>
      <w:r>
        <w:rPr>
          <w:rFonts w:ascii="Times New Roman" w:hAnsi="Times New Roman"/>
          <w:sz w:val="28"/>
          <w:szCs w:val="28"/>
        </w:rPr>
        <w:t>перевірені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6829BDCD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Дія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цих</w:t>
      </w:r>
      <w:r>
        <w:rPr>
          <w:rFonts w:ascii="Times New Roman" w:hAnsi="Times New Roman"/>
          <w:sz w:val="28"/>
          <w:szCs w:val="28"/>
        </w:rPr>
        <w:t xml:space="preserve"> правил не </w:t>
      </w:r>
      <w:r>
        <w:rPr>
          <w:rFonts w:ascii="Times New Roman" w:hAnsi="Times New Roman"/>
          <w:sz w:val="28"/>
          <w:szCs w:val="28"/>
        </w:rPr>
        <w:t>поширюється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попередній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реєстрацію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документів</w:t>
      </w:r>
      <w:r>
        <w:rPr>
          <w:rFonts w:ascii="Times New Roman" w:hAnsi="Times New Roman"/>
          <w:sz w:val="28"/>
          <w:szCs w:val="28"/>
        </w:rPr>
        <w:t>, по</w:t>
      </w:r>
      <w:r>
        <w:rPr>
          <w:rFonts w:ascii="Times New Roman" w:hAnsi="Times New Roman"/>
          <w:sz w:val="28"/>
          <w:szCs w:val="28"/>
        </w:rPr>
        <w:t xml:space="preserve">рядок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спеціальними</w:t>
      </w:r>
      <w:r>
        <w:rPr>
          <w:rFonts w:ascii="Times New Roman" w:hAnsi="Times New Roman"/>
          <w:sz w:val="28"/>
          <w:szCs w:val="28"/>
        </w:rPr>
        <w:t xml:space="preserve"> Законами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24636307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3AF" w14:paraId="13DAB932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ІІ. </w:t>
      </w:r>
      <w:r>
        <w:rPr>
          <w:rFonts w:ascii="Times New Roman" w:hAnsi="Times New Roman"/>
          <w:sz w:val="28"/>
          <w:szCs w:val="28"/>
        </w:rPr>
        <w:t>Обов’язки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конфіденційності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викривача</w:t>
      </w:r>
    </w:p>
    <w:p w:rsidR="001B73AF" w14:paraId="48FF68BD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Основним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завданням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конфіденційності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>унемо</w:t>
      </w:r>
      <w:r>
        <w:rPr>
          <w:rFonts w:ascii="Times New Roman" w:hAnsi="Times New Roman"/>
          <w:sz w:val="28"/>
          <w:szCs w:val="28"/>
        </w:rPr>
        <w:t>жливлення</w:t>
      </w:r>
      <w:r>
        <w:rPr>
          <w:rFonts w:ascii="Times New Roman" w:hAnsi="Times New Roman"/>
          <w:sz w:val="28"/>
          <w:szCs w:val="28"/>
        </w:rPr>
        <w:t xml:space="preserve"> допуску та доступу до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будь-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посадових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окрім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відповідальних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реєстрацію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0961EFA2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 метою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вказаного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завдання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</w:t>
      </w:r>
      <w:r>
        <w:rPr>
          <w:rFonts w:ascii="Times New Roman" w:hAnsi="Times New Roman"/>
          <w:sz w:val="28"/>
          <w:szCs w:val="28"/>
        </w:rPr>
        <w:t xml:space="preserve"> органу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зобов’язаний</w:t>
      </w:r>
      <w:r>
        <w:rPr>
          <w:rFonts w:ascii="Times New Roman" w:hAnsi="Times New Roman"/>
          <w:sz w:val="28"/>
          <w:szCs w:val="28"/>
        </w:rPr>
        <w:t>:</w:t>
      </w:r>
    </w:p>
    <w:p w:rsidR="001B73AF" w14:paraId="0D32CC95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розпорядженням по </w:t>
      </w:r>
      <w:bookmarkStart w:id="3" w:name="_Hlk113452352"/>
      <w:r>
        <w:rPr>
          <w:rFonts w:ascii="Times New Roman" w:hAnsi="Times New Roman"/>
          <w:sz w:val="28"/>
          <w:szCs w:val="28"/>
        </w:rPr>
        <w:t xml:space="preserve">виконавчих органах БМР </w:t>
      </w:r>
      <w:bookmarkEnd w:id="3"/>
      <w:r>
        <w:rPr>
          <w:rFonts w:ascii="Times New Roman" w:hAnsi="Times New Roman"/>
          <w:sz w:val="28"/>
          <w:szCs w:val="28"/>
        </w:rPr>
        <w:t>визначити порядок реєстрації та опрацювання повідомлень викривачів;</w:t>
      </w:r>
    </w:p>
    <w:p w:rsidR="001B73AF" w14:paraId="70DF227A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розпорядженням по виконавчих органах БМР визначити відповідального за розгляд та вирішення повідомлень викривачів.</w:t>
      </w:r>
    </w:p>
    <w:p w:rsidR="001B73AF" w14:paraId="3B3AA4EC" w14:textId="7777777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Організовувати </w:t>
      </w:r>
      <w:r>
        <w:rPr>
          <w:rFonts w:ascii="Times New Roman" w:hAnsi="Times New Roman"/>
          <w:sz w:val="28"/>
          <w:szCs w:val="28"/>
          <w:lang w:val="uk-UA"/>
        </w:rPr>
        <w:t>проведення службових розслідувань щодо фактів незаконного розголошення або використання в інший спосіб працівниками виконавчих органів БМР інформації про викривача, його близьких осіб чи інформації, що може ідентифікувати особу викривача.</w:t>
      </w:r>
    </w:p>
    <w:p w:rsidR="001B73AF" w14:paraId="53D5BC4A" w14:textId="7777777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73AF" w14:paraId="49A53275" w14:textId="7777777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ІІІ. Обов’язки п</w:t>
      </w:r>
      <w:r>
        <w:rPr>
          <w:rFonts w:ascii="Times New Roman" w:hAnsi="Times New Roman"/>
          <w:sz w:val="28"/>
          <w:szCs w:val="28"/>
          <w:lang w:val="uk-UA"/>
        </w:rPr>
        <w:t>рацівника виконавчих органів БМР щодо забезпечення конфіденційності викривача</w:t>
      </w:r>
    </w:p>
    <w:p w:rsidR="001B73AF" w14:paraId="618D8898" w14:textId="7777777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Кожен працівник виконавчих органів БМР, який приймає та розглядає повідомлення викривача, несе особисту відповідальність за збереження в таємниці інформації про викривача, йог</w:t>
      </w:r>
      <w:r>
        <w:rPr>
          <w:rFonts w:ascii="Times New Roman" w:hAnsi="Times New Roman"/>
          <w:sz w:val="28"/>
          <w:szCs w:val="28"/>
          <w:lang w:val="uk-UA"/>
        </w:rPr>
        <w:t>о близьких осіб чи інформації, що може ідентифікувати особу викривача.</w:t>
      </w:r>
    </w:p>
    <w:p w:rsidR="001B73AF" w14:paraId="0DBE241C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Працівник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</w:t>
      </w:r>
      <w:r>
        <w:rPr>
          <w:rFonts w:ascii="Times New Roman" w:hAnsi="Times New Roman"/>
          <w:sz w:val="28"/>
          <w:szCs w:val="28"/>
        </w:rPr>
        <w:t>зобов’язаний</w:t>
      </w:r>
      <w:r>
        <w:rPr>
          <w:rFonts w:ascii="Times New Roman" w:hAnsi="Times New Roman"/>
          <w:sz w:val="28"/>
          <w:szCs w:val="28"/>
        </w:rPr>
        <w:t>:</w:t>
      </w:r>
    </w:p>
    <w:p w:rsidR="001B73AF" w14:paraId="527C076F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зберігати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таємниці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ідентифікувати</w:t>
      </w:r>
      <w:r>
        <w:rPr>
          <w:rFonts w:ascii="Times New Roman" w:hAnsi="Times New Roman"/>
          <w:sz w:val="28"/>
          <w:szCs w:val="28"/>
        </w:rPr>
        <w:t xml:space="preserve"> особу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>;</w:t>
      </w:r>
    </w:p>
    <w:p w:rsidR="001B73AF" w14:paraId="7B360F2D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додержуват</w:t>
      </w:r>
      <w:r>
        <w:rPr>
          <w:rFonts w:ascii="Times New Roman" w:hAnsi="Times New Roman"/>
          <w:sz w:val="28"/>
          <w:szCs w:val="28"/>
        </w:rPr>
        <w:t>ись</w:t>
      </w:r>
      <w:r>
        <w:rPr>
          <w:rFonts w:ascii="Times New Roman" w:hAnsi="Times New Roman"/>
          <w:sz w:val="28"/>
          <w:szCs w:val="28"/>
        </w:rPr>
        <w:t xml:space="preserve"> правил </w:t>
      </w:r>
      <w:r>
        <w:rPr>
          <w:rFonts w:ascii="Times New Roman" w:hAnsi="Times New Roman"/>
          <w:sz w:val="28"/>
          <w:szCs w:val="28"/>
        </w:rPr>
        <w:t>користування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конфіденційною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інформацією</w:t>
      </w:r>
      <w:r>
        <w:rPr>
          <w:rFonts w:ascii="Times New Roman" w:hAnsi="Times New Roman"/>
          <w:sz w:val="28"/>
          <w:szCs w:val="28"/>
        </w:rPr>
        <w:t>;</w:t>
      </w:r>
    </w:p>
    <w:p w:rsidR="001B73AF" w14:paraId="63F13A17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користуватися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повідомленнями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документами,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ідентифікувати</w:t>
      </w:r>
      <w:r>
        <w:rPr>
          <w:rFonts w:ascii="Times New Roman" w:hAnsi="Times New Roman"/>
          <w:sz w:val="28"/>
          <w:szCs w:val="28"/>
        </w:rPr>
        <w:t xml:space="preserve"> особу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таким чином, </w:t>
      </w:r>
      <w:r>
        <w:rPr>
          <w:rFonts w:ascii="Times New Roman" w:hAnsi="Times New Roman"/>
          <w:sz w:val="28"/>
          <w:szCs w:val="28"/>
        </w:rPr>
        <w:t>аби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унеможливи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ознайомлення</w:t>
      </w:r>
      <w:r>
        <w:rPr>
          <w:rFonts w:ascii="Times New Roman" w:hAnsi="Times New Roman"/>
          <w:sz w:val="28"/>
          <w:szCs w:val="28"/>
        </w:rPr>
        <w:t xml:space="preserve"> з ними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;</w:t>
      </w:r>
    </w:p>
    <w:p w:rsidR="001B73AF" w14:paraId="384E713A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виходу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робочого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кабінету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близьких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ідентифікувати</w:t>
      </w:r>
      <w:r>
        <w:rPr>
          <w:rFonts w:ascii="Times New Roman" w:hAnsi="Times New Roman"/>
          <w:sz w:val="28"/>
          <w:szCs w:val="28"/>
        </w:rPr>
        <w:t xml:space="preserve"> особу </w:t>
      </w:r>
      <w:r>
        <w:rPr>
          <w:rFonts w:ascii="Times New Roman" w:hAnsi="Times New Roman"/>
          <w:sz w:val="28"/>
          <w:szCs w:val="28"/>
        </w:rPr>
        <w:t>викривача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зберігати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місці</w:t>
      </w:r>
      <w:r>
        <w:rPr>
          <w:rFonts w:ascii="Times New Roman" w:hAnsi="Times New Roman"/>
          <w:sz w:val="28"/>
          <w:szCs w:val="28"/>
        </w:rPr>
        <w:t xml:space="preserve">, яке </w:t>
      </w:r>
      <w:r>
        <w:rPr>
          <w:rFonts w:ascii="Times New Roman" w:hAnsi="Times New Roman"/>
          <w:sz w:val="28"/>
          <w:szCs w:val="28"/>
        </w:rPr>
        <w:t>унеможл</w:t>
      </w:r>
      <w:r>
        <w:rPr>
          <w:rFonts w:ascii="Times New Roman" w:hAnsi="Times New Roman"/>
          <w:sz w:val="28"/>
          <w:szCs w:val="28"/>
        </w:rPr>
        <w:t>ивлює</w:t>
      </w:r>
      <w:r>
        <w:rPr>
          <w:rFonts w:ascii="Times New Roman" w:hAnsi="Times New Roman"/>
          <w:sz w:val="28"/>
          <w:szCs w:val="28"/>
        </w:rPr>
        <w:t xml:space="preserve"> доступ до них будь-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сторонніх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345A94FD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3AF" w14:paraId="12127C5D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ІV.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внутрішні</w:t>
      </w:r>
      <w:r>
        <w:rPr>
          <w:rFonts w:ascii="Times New Roman" w:hAnsi="Times New Roman"/>
          <w:sz w:val="28"/>
          <w:szCs w:val="28"/>
        </w:rPr>
        <w:t xml:space="preserve"> канали </w:t>
      </w:r>
      <w:r>
        <w:rPr>
          <w:rFonts w:ascii="Times New Roman" w:hAnsi="Times New Roman"/>
          <w:sz w:val="28"/>
          <w:szCs w:val="28"/>
        </w:rPr>
        <w:t>повідомлень</w:t>
      </w:r>
    </w:p>
    <w:p w:rsidR="001B73AF" w14:paraId="6A39B614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внутрішні</w:t>
      </w:r>
      <w:r>
        <w:rPr>
          <w:rFonts w:ascii="Times New Roman" w:hAnsi="Times New Roman"/>
          <w:sz w:val="28"/>
          <w:szCs w:val="28"/>
        </w:rPr>
        <w:t xml:space="preserve"> канали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>:</w:t>
      </w:r>
    </w:p>
    <w:p w:rsidR="001B73AF" w14:paraId="430B033E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лінію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лектронну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пошту</w:t>
      </w:r>
      <w:r>
        <w:rPr>
          <w:rFonts w:ascii="Times New Roman" w:hAnsi="Times New Roman"/>
          <w:sz w:val="28"/>
          <w:szCs w:val="28"/>
        </w:rPr>
        <w:t xml:space="preserve">, вебсайт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БМР, </w:t>
      </w:r>
      <w:r>
        <w:rPr>
          <w:rFonts w:ascii="Times New Roman" w:hAnsi="Times New Roman"/>
          <w:sz w:val="28"/>
          <w:szCs w:val="28"/>
        </w:rPr>
        <w:t>приймає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14127375"/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bookmarkEnd w:id="4"/>
      <w:r>
        <w:rPr>
          <w:rFonts w:ascii="Times New Roman" w:hAnsi="Times New Roman"/>
          <w:sz w:val="28"/>
          <w:szCs w:val="28"/>
        </w:rPr>
        <w:t>.</w:t>
      </w:r>
    </w:p>
    <w:p w:rsidR="001B73AF" w14:paraId="18884388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лінію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години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пошту</w:t>
      </w:r>
      <w:r>
        <w:rPr>
          <w:rFonts w:ascii="Times New Roman" w:hAnsi="Times New Roman"/>
          <w:sz w:val="28"/>
          <w:szCs w:val="28"/>
        </w:rPr>
        <w:t xml:space="preserve">, про </w:t>
      </w:r>
      <w:r>
        <w:rPr>
          <w:rFonts w:ascii="Times New Roman" w:hAnsi="Times New Roman"/>
          <w:sz w:val="28"/>
          <w:szCs w:val="28"/>
        </w:rPr>
        <w:t>посилання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ебсайті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розміщується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офіційному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вебсайті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БМР.</w:t>
      </w:r>
    </w:p>
    <w:p w:rsidR="001B73AF" w14:paraId="3E93825C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Попередній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3BFCE7FA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переднього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пізніше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наступного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робочого</w:t>
      </w:r>
      <w:r>
        <w:rPr>
          <w:rFonts w:ascii="Times New Roman" w:hAnsi="Times New Roman"/>
          <w:sz w:val="28"/>
          <w:szCs w:val="28"/>
        </w:rPr>
        <w:t xml:space="preserve"> дня </w:t>
      </w:r>
      <w:r>
        <w:rPr>
          <w:rFonts w:ascii="Times New Roman" w:hAnsi="Times New Roman"/>
          <w:sz w:val="28"/>
          <w:szCs w:val="28"/>
        </w:rPr>
        <w:t>передаються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визначеної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посадової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для </w:t>
      </w:r>
      <w:r>
        <w:rPr>
          <w:rFonts w:ascii="Times New Roman" w:hAnsi="Times New Roman"/>
          <w:sz w:val="28"/>
          <w:szCs w:val="28"/>
        </w:rPr>
        <w:t>реєстрації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705C3284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3AF" w14:paraId="1C0AE3D9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V.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 xml:space="preserve">ерез </w:t>
      </w:r>
      <w:r>
        <w:rPr>
          <w:rFonts w:ascii="Times New Roman" w:hAnsi="Times New Roman"/>
          <w:sz w:val="28"/>
          <w:szCs w:val="28"/>
        </w:rPr>
        <w:t>регулярні</w:t>
      </w:r>
      <w:r>
        <w:rPr>
          <w:rFonts w:ascii="Times New Roman" w:hAnsi="Times New Roman"/>
          <w:sz w:val="28"/>
          <w:szCs w:val="28"/>
        </w:rPr>
        <w:t xml:space="preserve"> канали </w:t>
      </w:r>
      <w:r>
        <w:rPr>
          <w:rFonts w:ascii="Times New Roman" w:hAnsi="Times New Roman"/>
          <w:sz w:val="28"/>
          <w:szCs w:val="28"/>
        </w:rPr>
        <w:t>повідомлень</w:t>
      </w:r>
    </w:p>
    <w:p w:rsidR="001B73AF" w14:paraId="68D3B2E7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регулярні</w:t>
      </w:r>
      <w:r>
        <w:rPr>
          <w:rFonts w:ascii="Times New Roman" w:hAnsi="Times New Roman"/>
          <w:sz w:val="28"/>
          <w:szCs w:val="28"/>
        </w:rPr>
        <w:t xml:space="preserve"> канали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>:</w:t>
      </w:r>
    </w:p>
    <w:p w:rsidR="001B73AF" w14:paraId="1C83352A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лінію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пошту</w:t>
      </w:r>
      <w:r>
        <w:rPr>
          <w:rFonts w:ascii="Times New Roman" w:hAnsi="Times New Roman"/>
          <w:sz w:val="28"/>
          <w:szCs w:val="28"/>
        </w:rPr>
        <w:t xml:space="preserve">, вебсайт органу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особи, </w:t>
      </w:r>
      <w:r>
        <w:rPr>
          <w:rFonts w:ascii="Times New Roman" w:hAnsi="Times New Roman"/>
          <w:sz w:val="28"/>
          <w:szCs w:val="28"/>
        </w:rPr>
        <w:t>приймає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709B5FA6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Інформація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лінію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години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спеціальну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пошту</w:t>
      </w:r>
      <w:r>
        <w:rPr>
          <w:rFonts w:ascii="Times New Roman" w:hAnsi="Times New Roman"/>
          <w:sz w:val="28"/>
          <w:szCs w:val="28"/>
        </w:rPr>
        <w:t xml:space="preserve">, про </w:t>
      </w:r>
      <w:r>
        <w:rPr>
          <w:rFonts w:ascii="Times New Roman" w:hAnsi="Times New Roman"/>
          <w:sz w:val="28"/>
          <w:szCs w:val="28"/>
        </w:rPr>
        <w:t>посилання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вебсайті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розміщується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офі</w:t>
      </w:r>
      <w:r>
        <w:rPr>
          <w:rFonts w:ascii="Times New Roman" w:hAnsi="Times New Roman"/>
          <w:sz w:val="28"/>
          <w:szCs w:val="28"/>
        </w:rPr>
        <w:t>ційному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вебсайті</w:t>
      </w:r>
      <w:r>
        <w:rPr>
          <w:rFonts w:ascii="Times New Roman" w:hAnsi="Times New Roman"/>
          <w:sz w:val="28"/>
          <w:szCs w:val="28"/>
        </w:rPr>
        <w:t xml:space="preserve"> органу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особи.</w:t>
      </w:r>
    </w:p>
    <w:p w:rsidR="001B73AF" w14:paraId="13B169E1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Попередній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уповноважена</w:t>
      </w:r>
      <w:r>
        <w:rPr>
          <w:rFonts w:ascii="Times New Roman" w:hAnsi="Times New Roman"/>
          <w:sz w:val="28"/>
          <w:szCs w:val="28"/>
        </w:rPr>
        <w:t xml:space="preserve"> особа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183798E9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попереднього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отримання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пізніше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наступного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робочого</w:t>
      </w:r>
      <w:r>
        <w:rPr>
          <w:rFonts w:ascii="Times New Roman" w:hAnsi="Times New Roman"/>
          <w:sz w:val="28"/>
          <w:szCs w:val="28"/>
        </w:rPr>
        <w:t xml:space="preserve"> дня </w:t>
      </w:r>
      <w:r>
        <w:rPr>
          <w:rFonts w:ascii="Times New Roman" w:hAnsi="Times New Roman"/>
          <w:sz w:val="28"/>
          <w:szCs w:val="28"/>
        </w:rPr>
        <w:t>передаються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визначеної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посадової</w:t>
      </w:r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БМР для </w:t>
      </w:r>
      <w:r>
        <w:rPr>
          <w:rFonts w:ascii="Times New Roman" w:hAnsi="Times New Roman"/>
          <w:sz w:val="28"/>
          <w:szCs w:val="28"/>
        </w:rPr>
        <w:t>реєстрації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27F1D0A7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3AF" w14:paraId="02DE5E61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VІ. </w:t>
      </w:r>
      <w:r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зв’язку</w:t>
      </w:r>
    </w:p>
    <w:p w:rsidR="001B73AF" w14:paraId="27D75C32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органу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 через </w:t>
      </w:r>
      <w:r>
        <w:rPr>
          <w:rFonts w:ascii="Times New Roman" w:hAnsi="Times New Roman"/>
          <w:sz w:val="28"/>
          <w:szCs w:val="28"/>
        </w:rPr>
        <w:t>загальну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електронну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поштову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скриньку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кореспонденції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засобами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зв’язку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отримані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особистому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прийомі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приймає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підрозділ</w:t>
      </w:r>
      <w:r>
        <w:rPr>
          <w:rFonts w:ascii="Times New Roman" w:hAnsi="Times New Roman"/>
          <w:sz w:val="28"/>
          <w:szCs w:val="28"/>
        </w:rPr>
        <w:t xml:space="preserve"> органу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юридичної</w:t>
      </w:r>
      <w:r>
        <w:rPr>
          <w:rFonts w:ascii="Times New Roman" w:hAnsi="Times New Roman"/>
          <w:sz w:val="28"/>
          <w:szCs w:val="28"/>
        </w:rPr>
        <w:t xml:space="preserve"> особи, </w:t>
      </w:r>
      <w:r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опередній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реєстрацію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0BF8C369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 </w:t>
      </w:r>
      <w:r>
        <w:rPr>
          <w:rFonts w:ascii="Times New Roman" w:hAnsi="Times New Roman"/>
          <w:sz w:val="28"/>
          <w:szCs w:val="28"/>
        </w:rPr>
        <w:t>разі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надходження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відправлення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отримувача</w:t>
      </w:r>
      <w:r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>Уповноваженій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» та </w:t>
      </w:r>
      <w:r>
        <w:rPr>
          <w:rFonts w:ascii="Times New Roman" w:hAnsi="Times New Roman"/>
          <w:sz w:val="28"/>
          <w:szCs w:val="28"/>
        </w:rPr>
        <w:t>позначкою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Особисто</w:t>
      </w:r>
      <w:r>
        <w:rPr>
          <w:rFonts w:ascii="Times New Roman" w:hAnsi="Times New Roman"/>
          <w:sz w:val="28"/>
          <w:szCs w:val="28"/>
        </w:rPr>
        <w:t xml:space="preserve">», а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будь-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поштових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відправлень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отримувачем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яких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вказано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уповноважену</w:t>
      </w:r>
      <w:r>
        <w:rPr>
          <w:rFonts w:ascii="Times New Roman" w:hAnsi="Times New Roman"/>
          <w:sz w:val="28"/>
          <w:szCs w:val="28"/>
        </w:rPr>
        <w:t xml:space="preserve"> особу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вручаються</w:t>
      </w:r>
      <w:r>
        <w:rPr>
          <w:rFonts w:ascii="Times New Roman" w:hAnsi="Times New Roman"/>
          <w:sz w:val="28"/>
          <w:szCs w:val="28"/>
        </w:rPr>
        <w:t xml:space="preserve"> службою </w:t>
      </w:r>
      <w:r>
        <w:rPr>
          <w:rFonts w:ascii="Times New Roman" w:hAnsi="Times New Roman"/>
          <w:sz w:val="28"/>
          <w:szCs w:val="28"/>
        </w:rPr>
        <w:t>діловодства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виключно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розкриття</w:t>
      </w:r>
      <w:r>
        <w:rPr>
          <w:rFonts w:ascii="Times New Roman" w:hAnsi="Times New Roman"/>
          <w:sz w:val="28"/>
          <w:szCs w:val="28"/>
        </w:rPr>
        <w:t xml:space="preserve"> конв</w:t>
      </w:r>
      <w:r>
        <w:rPr>
          <w:rFonts w:ascii="Times New Roman" w:hAnsi="Times New Roman"/>
          <w:sz w:val="28"/>
          <w:szCs w:val="28"/>
        </w:rPr>
        <w:t>ерту.</w:t>
      </w:r>
    </w:p>
    <w:p w:rsidR="001B73AF" w14:paraId="616D4412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3AF" w14:paraId="37D957D5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VІІ. </w:t>
      </w:r>
      <w:r>
        <w:rPr>
          <w:rFonts w:ascii="Times New Roman" w:hAnsi="Times New Roman"/>
          <w:sz w:val="28"/>
          <w:szCs w:val="28"/>
        </w:rPr>
        <w:t>Реєстрація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</w:p>
    <w:p w:rsidR="001B73AF" w14:paraId="280B526F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реєструється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системі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документообігу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позначкою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Терміново</w:t>
      </w:r>
      <w:r>
        <w:rPr>
          <w:rFonts w:ascii="Times New Roman" w:hAnsi="Times New Roman"/>
          <w:sz w:val="28"/>
          <w:szCs w:val="28"/>
        </w:rPr>
        <w:t>».</w:t>
      </w:r>
    </w:p>
    <w:p w:rsidR="001B73AF" w14:paraId="55662DD0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реєстрації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наноситься </w:t>
      </w:r>
      <w:r>
        <w:rPr>
          <w:rFonts w:ascii="Times New Roman" w:hAnsi="Times New Roman"/>
          <w:sz w:val="28"/>
          <w:szCs w:val="28"/>
        </w:rPr>
        <w:t>штрих-код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присвоєний</w:t>
      </w:r>
      <w:r>
        <w:rPr>
          <w:rFonts w:ascii="Times New Roman" w:hAnsi="Times New Roman"/>
          <w:sz w:val="28"/>
          <w:szCs w:val="28"/>
        </w:rPr>
        <w:t xml:space="preserve"> системою </w:t>
      </w:r>
      <w:r>
        <w:rPr>
          <w:rFonts w:ascii="Times New Roman" w:hAnsi="Times New Roman"/>
          <w:sz w:val="28"/>
          <w:szCs w:val="28"/>
        </w:rPr>
        <w:t>електронного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документообігу</w:t>
      </w:r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створення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фотокопій</w:t>
      </w:r>
      <w:r>
        <w:rPr>
          <w:rFonts w:ascii="Times New Roman" w:hAnsi="Times New Roman"/>
          <w:sz w:val="28"/>
          <w:szCs w:val="28"/>
        </w:rPr>
        <w:t xml:space="preserve">, та </w:t>
      </w:r>
      <w:r>
        <w:rPr>
          <w:rFonts w:ascii="Times New Roman" w:hAnsi="Times New Roman"/>
          <w:sz w:val="28"/>
          <w:szCs w:val="28"/>
        </w:rPr>
        <w:t>невідкладно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особисто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4BF854F6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Доступ до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викривачів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тільки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ідентифікованим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автентифікованим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користувачам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погод</w:t>
      </w:r>
      <w:r>
        <w:rPr>
          <w:rFonts w:ascii="Times New Roman" w:hAnsi="Times New Roman"/>
          <w:sz w:val="28"/>
          <w:szCs w:val="28"/>
        </w:rPr>
        <w:t>женням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уповноваженою</w:t>
      </w:r>
      <w:r>
        <w:rPr>
          <w:rFonts w:ascii="Times New Roman" w:hAnsi="Times New Roman"/>
          <w:sz w:val="28"/>
          <w:szCs w:val="28"/>
        </w:rPr>
        <w:t xml:space="preserve"> особою з </w:t>
      </w:r>
      <w:r>
        <w:rPr>
          <w:rFonts w:ascii="Times New Roman" w:hAnsi="Times New Roman"/>
          <w:sz w:val="28"/>
          <w:szCs w:val="28"/>
        </w:rPr>
        <w:t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Спроби</w:t>
      </w:r>
      <w:r>
        <w:rPr>
          <w:rFonts w:ascii="Times New Roman" w:hAnsi="Times New Roman"/>
          <w:sz w:val="28"/>
          <w:szCs w:val="28"/>
        </w:rPr>
        <w:t xml:space="preserve"> доступу до </w:t>
      </w:r>
      <w:r>
        <w:rPr>
          <w:rFonts w:ascii="Times New Roman" w:hAnsi="Times New Roman"/>
          <w:sz w:val="28"/>
          <w:szCs w:val="28"/>
        </w:rPr>
        <w:t>такої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неідентифікованих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користувачів</w:t>
      </w:r>
      <w:r>
        <w:rPr>
          <w:rFonts w:ascii="Times New Roman" w:hAnsi="Times New Roman"/>
          <w:sz w:val="28"/>
          <w:szCs w:val="28"/>
        </w:rPr>
        <w:t xml:space="preserve"> з не </w:t>
      </w:r>
      <w:r>
        <w:rPr>
          <w:rFonts w:ascii="Times New Roman" w:hAnsi="Times New Roman"/>
          <w:sz w:val="28"/>
          <w:szCs w:val="28"/>
        </w:rPr>
        <w:t>підтвердженою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 xml:space="preserve"> час </w:t>
      </w:r>
      <w:r>
        <w:rPr>
          <w:rFonts w:ascii="Times New Roman" w:hAnsi="Times New Roman"/>
          <w:sz w:val="28"/>
          <w:szCs w:val="28"/>
        </w:rPr>
        <w:t>автентифікації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відповідністю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пред’явленого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ідентифікатора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повинні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блокуватися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10E03763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Реєстрація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облік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здійснюються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індексом</w:t>
      </w:r>
      <w:r>
        <w:rPr>
          <w:rFonts w:ascii="Times New Roman" w:hAnsi="Times New Roman"/>
          <w:sz w:val="28"/>
          <w:szCs w:val="28"/>
        </w:rPr>
        <w:t xml:space="preserve"> ПК – 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04B99886" w14:textId="77777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Повідомленню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найменування</w:t>
      </w:r>
      <w:r>
        <w:rPr>
          <w:rFonts w:ascii="Times New Roman" w:hAnsi="Times New Roman"/>
          <w:sz w:val="28"/>
          <w:szCs w:val="28"/>
        </w:rPr>
        <w:t xml:space="preserve"> виду документа «</w:t>
      </w:r>
      <w:r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>».</w:t>
      </w:r>
    </w:p>
    <w:p w:rsidR="001B73AF" w14:paraId="5F1D1210" w14:textId="1A43065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Порядок </w:t>
      </w:r>
      <w:r>
        <w:rPr>
          <w:rFonts w:ascii="Times New Roman" w:hAnsi="Times New Roman"/>
          <w:sz w:val="28"/>
          <w:szCs w:val="28"/>
        </w:rPr>
        <w:t>опрацювання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повідомлень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корупцію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>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запобігання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урахуванням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уповноважених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суб’єктів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сфері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протидії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положень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діловодства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органах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 w:rsidR="00571538">
        <w:rPr>
          <w:rFonts w:ascii="Times New Roman" w:hAnsi="Times New Roman"/>
          <w:sz w:val="28"/>
          <w:szCs w:val="28"/>
        </w:rPr>
        <w:t>Броварського</w:t>
      </w:r>
      <w:r w:rsidR="00571538"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</w:t>
      </w:r>
      <w:r>
        <w:rPr>
          <w:rFonts w:ascii="Times New Roman" w:hAnsi="Times New Roman"/>
          <w:sz w:val="28"/>
          <w:szCs w:val="28"/>
        </w:rPr>
        <w:t>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>.</w:t>
      </w:r>
    </w:p>
    <w:p w:rsidR="001B73AF" w14:paraId="794AD14B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73AF" w14:paraId="464C1026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73AF" w14:paraId="6F145CD7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73AF" w14:paraId="7B3A988A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3AF" w14:paraId="659BF15A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1B73AF" w14:paraId="2A86FA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3AF" w14:paraId="0AF18922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1B73AF" w14:paraId="6F2695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9F4DBC"/>
    <w:multiLevelType w:val="hybridMultilevel"/>
    <w:tmpl w:val="963285C4"/>
    <w:lvl w:ilvl="0">
      <w:start w:val="1"/>
      <w:numFmt w:val="bullet"/>
      <w:lvlText w:val="-"/>
      <w:lvlJc w:val="left"/>
      <w:pPr>
        <w:ind w:left="1287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AF"/>
    <w:rsid w:val="001B73AF"/>
    <w:rsid w:val="00571538"/>
    <w:rsid w:val="007B60BC"/>
    <w:rsid w:val="00814CA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D44E"/>
  <w15:docId w15:val="{C3CD3662-7C53-45F6-98CE-6AF62BD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  <w:rPr>
      <w:lang w:val="uk-UA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5278</Words>
  <Characters>3009</Characters>
  <Application>Microsoft Office Word</Application>
  <DocSecurity>8</DocSecurity>
  <Lines>25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Serhii</cp:lastModifiedBy>
  <cp:revision>13</cp:revision>
  <dcterms:created xsi:type="dcterms:W3CDTF">2021-12-31T08:10:00Z</dcterms:created>
  <dcterms:modified xsi:type="dcterms:W3CDTF">2022-09-26T18:18:00Z</dcterms:modified>
</cp:coreProperties>
</file>