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tabs>
          <w:tab w:val="left" w:pos="5610" w:leader="none"/>
          <w:tab w:val="left" w:pos="6358" w:leader="none"/>
        </w:tabs>
        <w:spacing w:after="0" w:beforeAutospacing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1"/>
          <w:bCs w:val="1"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>№ #FullIndex#</w:t>
      </w:r>
    </w:p>
    <w:p>
      <w:pPr>
        <w:tabs>
          <w:tab w:val="left" w:pos="5610" w:leader="none"/>
          <w:tab w:val="left" w:pos="6358" w:leader="none"/>
        </w:tabs>
        <w:spacing w:after="0" w:beforeAutospacing="0" w:afterAutospacing="0"/>
        <w:ind w:left="5103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tabs>
          <w:tab w:val="left" w:pos="5610" w:leader="none"/>
          <w:tab w:val="left" w:pos="6358" w:leader="none"/>
        </w:tabs>
        <w:spacing w:after="0" w:beforeAutospacing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 w:leader="none"/>
          <w:tab w:val="left" w:pos="6358" w:leader="none"/>
        </w:tabs>
        <w:spacing w:after="0" w:beforeAutospacing="0" w:afterAutospacing="0"/>
        <w:ind w:left="5103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до рішення виконавчого комітету Броварської міської ради </w:t>
      </w:r>
    </w:p>
    <w:p>
      <w:pPr>
        <w:tabs>
          <w:tab w:val="left" w:pos="5610" w:leader="none"/>
          <w:tab w:val="left" w:pos="6358" w:leader="none"/>
        </w:tabs>
        <w:spacing w:after="0" w:beforeAutospacing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 w:leader="none"/>
          <w:tab w:val="left" w:pos="6358" w:leader="none"/>
        </w:tabs>
        <w:spacing w:after="0" w:beforeAutospacing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after="0" w:beforeAutospacing="0" w:afterAutospacing="0"/>
        <w:rPr>
          <w:rFonts w:ascii="Times New Roman" w:hAnsi="Times New Roman"/>
          <w:sz w:val="28"/>
          <w:szCs w:val="28"/>
        </w:rPr>
      </w:pPr>
    </w:p>
    <w:p>
      <w:pPr>
        <w:widowControl w:val="1"/>
        <w:ind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permStart w:id="1" w:edGrp="everyone"/>
      <w:r>
        <w:rPr>
          <w:rFonts w:ascii="Calibri" w:hAnsi="Calibri"/>
          <w:b w:val="0"/>
          <w:i w:val="0"/>
          <w:bCs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Калькуляція повної планової собівартості та тарифу на послуги з поводження з побутовими відходами</w:t>
      </w:r>
    </w:p>
    <w:p>
      <w:pPr>
        <w:widowControl w:val="1"/>
        <w:ind w:left="0" w:right="0"/>
        <w:bidi w:val="0"/>
        <w:jc w:val="left"/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         Запланована кількість вивезених твердих побутових відходів, куб. м.: 170 673</w:t>
      </w:r>
    </w:p>
    <w:tbl>
      <w:tblPr>
        <w:tblW w:w="9639" w:type="dxa"/>
        <w:tblInd w:w="108" w:type="dxa"/>
        <w:shd w:val="clear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rPr>
          <w:wBefore w:w="0" w:type="dxa"/>
          <w:wAfter w:w="0" w:type="dxa"/>
          <w:trHeight w:hRule="atLeast" w:val="1275"/>
        </w:trPr>
        <w:tc>
          <w:tcPr>
            <w:tcW w:w="1985" w:type="dxa"/>
            <w:tcBorders>
              <w:top w:val="single" w:sz="8" w:space="0" w:shadow="0" w:frame="0"/>
              <w:left w:val="single" w:sz="4" w:space="0" w:shadow="0" w:frame="0"/>
              <w:bottom w:val="single" w:sz="8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center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Статті витрат</w:t>
            </w:r>
          </w:p>
        </w:tc>
        <w:tc>
          <w:tcPr>
            <w:tcW w:w="416" w:type="dxa"/>
            <w:tcBorders>
              <w:top w:val="single" w:sz="8" w:space="0" w:shadow="0" w:frame="0"/>
              <w:left w:val="nil"/>
              <w:bottom w:val="single" w:sz="8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center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3269" w:type="dxa"/>
            <w:tcBorders>
              <w:top w:val="single" w:sz="8" w:space="0" w:shadow="0" w:frame="0"/>
              <w:left w:val="nil"/>
              <w:bottom w:val="single" w:sz="8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center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Індивідуальні складові статей витрат</w:t>
            </w:r>
          </w:p>
        </w:tc>
        <w:tc>
          <w:tcPr>
            <w:tcW w:w="1134" w:type="dxa"/>
            <w:tcBorders>
              <w:top w:val="single" w:sz="8" w:space="0" w:shadow="0" w:frame="0"/>
              <w:left w:val="nil"/>
              <w:bottom w:val="single" w:sz="8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center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Потреба у ресурсі, Р</w:t>
            </w:r>
          </w:p>
        </w:tc>
        <w:tc>
          <w:tcPr>
            <w:tcW w:w="1701" w:type="dxa"/>
            <w:tcBorders>
              <w:top w:val="single" w:sz="8" w:space="0" w:shadow="0" w:frame="0"/>
              <w:left w:val="nil"/>
              <w:bottom w:val="single" w:sz="8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center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Витрати на 1 рік, грн.</w:t>
            </w:r>
          </w:p>
        </w:tc>
        <w:tc>
          <w:tcPr>
            <w:tcW w:w="1134" w:type="dxa"/>
            <w:tcBorders>
              <w:top w:val="single" w:sz="8" w:space="0" w:shadow="0" w:frame="0"/>
              <w:left w:val="nil"/>
              <w:bottom w:val="single" w:sz="8" w:space="0" w:shadow="0" w:frame="0"/>
              <w:right w:val="single" w:sz="8" w:space="0" w:shadow="0" w:frame="0"/>
            </w:tcBorders>
            <w:shd w:val="clear" w:color="auto" w:fill="FFFFFF" w:themeFill="light1"/>
            <w:vAlign w:val="top"/>
            <w:hideMark/>
          </w:tcPr>
          <w:p>
            <w:pPr>
              <w:widowControl w:val="1"/>
              <w:ind w:left="0" w:right="0"/>
              <w:bidi w:val="0"/>
              <w:jc w:val="center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Планові витрати на 1 куб. м. 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Прямі матеріальні витрати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 xml:space="preserve">Дизельне паливо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171 486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8 814 380,40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51,64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Використання мастила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760 283,18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4,45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Використання автошин, з/ч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2 443 894,00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14,32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Прямі витрати з оплати праці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4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Основна заробітна плата виробничого персоналу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1 560 000,00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9,14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5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Надбавки виробничому персоналу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775 785,00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4,55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6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Доплата за роботу у вихідні дні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101 920,00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0,60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7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Премії виробничому персоналу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288 000,00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1,69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Інші прямі витрати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8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Єдиний соціальний внесок (22%)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599 655,10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3,51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9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Витрати на оренду автомобілів-сміттєвозів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3 624 000,00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21,23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Загальновиробничі витрати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10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Основна заробітна плата загальновиробничого персоналу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865 260,00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5,07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11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Премії загальновиробничого персоналу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92 340,00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0,54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12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Єдиний соціальний внесок (22%)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210 672,00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1,23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13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Витрати на оренду приміщення загальновир. Призначення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508 919,87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2,98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14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Витрати на утримання контейнерів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1 184 640,00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6,94</w:t>
            </w:r>
          </w:p>
        </w:tc>
      </w:tr>
      <w:tr>
        <w:trPr>
          <w:wBefore w:w="0" w:type="dxa"/>
          <w:wAfter w:w="0" w:type="dxa"/>
          <w:trHeight w:hRule="atLeast" w:val="49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15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Інші загальновиробничі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280 800,00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1,65</w:t>
            </w:r>
          </w:p>
        </w:tc>
      </w:tr>
      <w:tr>
        <w:trPr>
          <w:wBefore w:w="0" w:type="dxa"/>
          <w:wAfter w:w="0" w:type="dxa"/>
          <w:trHeight w:hRule="atLeast" w:val="324"/>
        </w:trPr>
        <w:tc>
          <w:tcPr>
            <w:tcW w:w="6804" w:type="dxa"/>
            <w:gridSpan w:val="4"/>
            <w:tcBorders>
              <w:top w:val="single" w:sz="4" w:space="0" w:shadow="0" w:frame="0"/>
              <w:left w:val="single" w:sz="4" w:space="0" w:shadow="0" w:frame="0"/>
              <w:bottom w:val="single" w:sz="8" w:space="0" w:shadow="0" w:frame="0"/>
              <w:right w:val="single" w:sz="4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Загальна сума витрат, що входить до планової виробничої собівартості:</w:t>
            </w:r>
          </w:p>
        </w:tc>
        <w:tc>
          <w:tcPr>
            <w:tcW w:w="1701" w:type="dxa"/>
            <w:tcBorders>
              <w:top w:val="single" w:sz="4" w:space="0" w:shadow="0" w:frame="0"/>
              <w:left w:val="single" w:sz="4" w:space="0" w:shadow="0" w:frame="0"/>
              <w:bottom w:val="single" w:sz="8" w:space="0" w:shadow="0" w:frame="0"/>
              <w:right w:val="single" w:sz="4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22 110 549,55</w:t>
            </w:r>
          </w:p>
        </w:tc>
        <w:tc>
          <w:tcPr>
            <w:tcW w:w="1134" w:type="dxa"/>
            <w:tcBorders>
              <w:top w:val="single" w:sz="4" w:space="0" w:shadow="0" w:frame="0"/>
              <w:left w:val="nil"/>
              <w:bottom w:val="single" w:sz="8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129,55</w:t>
            </w:r>
          </w:p>
        </w:tc>
      </w:tr>
      <w:tr>
        <w:trPr>
          <w:wBefore w:w="0" w:type="dxa"/>
          <w:wAfter w:w="0" w:type="dxa"/>
          <w:trHeight w:hRule="atLeast" w:val="460"/>
        </w:trPr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Адміністративні витрати</w:t>
            </w:r>
          </w:p>
        </w:tc>
        <w:tc>
          <w:tcPr>
            <w:tcW w:w="416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16</w:t>
            </w:r>
          </w:p>
        </w:tc>
        <w:tc>
          <w:tcPr>
            <w:tcW w:w="3269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Заробітна плата апарату управління</w:t>
            </w:r>
          </w:p>
        </w:tc>
        <w:tc>
          <w:tcPr>
            <w:tcW w:w="1134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1 101 240,00</w:t>
            </w:r>
          </w:p>
        </w:tc>
        <w:tc>
          <w:tcPr>
            <w:tcW w:w="1134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6,45</w:t>
            </w:r>
          </w:p>
        </w:tc>
      </w:tr>
      <w:tr>
        <w:trPr>
          <w:wBefore w:w="0" w:type="dxa"/>
          <w:wAfter w:w="0" w:type="dxa"/>
          <w:trHeight w:hRule="atLeast" w:val="360"/>
        </w:trPr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17</w:t>
            </w:r>
          </w:p>
        </w:tc>
        <w:tc>
          <w:tcPr>
            <w:tcW w:w="3269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Внески на загальнообов'язкове державне страхування</w:t>
            </w:r>
          </w:p>
        </w:tc>
        <w:tc>
          <w:tcPr>
            <w:tcW w:w="1134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242 272,80</w:t>
            </w:r>
          </w:p>
        </w:tc>
        <w:tc>
          <w:tcPr>
            <w:tcW w:w="1134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1,42</w:t>
            </w:r>
          </w:p>
        </w:tc>
      </w:tr>
      <w:tr>
        <w:trPr>
          <w:wBefore w:w="0" w:type="dxa"/>
          <w:wAfter w:w="0" w:type="dxa"/>
          <w:trHeight w:hRule="atLeast" w:val="264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18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Оренда офісного приміщення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54 926,09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0,32</w:t>
            </w:r>
          </w:p>
        </w:tc>
      </w:tr>
      <w:tr>
        <w:trPr>
          <w:wBefore w:w="0" w:type="dxa"/>
          <w:wAfter w:w="0" w:type="dxa"/>
          <w:trHeight w:hRule="atLeast" w:val="264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19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Інші адміністративні витрати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102 642,41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0,60</w:t>
            </w:r>
          </w:p>
        </w:tc>
      </w:tr>
      <w:tr>
        <w:trPr>
          <w:wBefore w:w="0" w:type="dxa"/>
          <w:wAfter w:w="0" w:type="dxa"/>
          <w:trHeight w:hRule="atLeast" w:val="324"/>
        </w:trPr>
        <w:tc>
          <w:tcPr>
            <w:tcW w:w="6804" w:type="dxa"/>
            <w:gridSpan w:val="4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Загальна сума адміністративних витрат:</w:t>
            </w:r>
          </w:p>
        </w:tc>
        <w:tc>
          <w:tcPr>
            <w:tcW w:w="1701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1 501 081,30</w:t>
            </w:r>
          </w:p>
        </w:tc>
        <w:tc>
          <w:tcPr>
            <w:tcW w:w="1134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8,80</w:t>
            </w:r>
          </w:p>
        </w:tc>
      </w:tr>
      <w:tr>
        <w:trPr>
          <w:wBefore w:w="0" w:type="dxa"/>
          <w:wAfter w:w="0" w:type="dxa"/>
          <w:trHeight w:hRule="atLeast" w:val="528"/>
        </w:trPr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Витрати зі збуту</w:t>
            </w:r>
          </w:p>
        </w:tc>
        <w:tc>
          <w:tcPr>
            <w:tcW w:w="416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20</w:t>
            </w:r>
          </w:p>
        </w:tc>
        <w:tc>
          <w:tcPr>
            <w:tcW w:w="3269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Основна заробітна плата працівників комерційного відділу</w:t>
            </w:r>
          </w:p>
        </w:tc>
        <w:tc>
          <w:tcPr>
            <w:tcW w:w="1134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437 760,00</w:t>
            </w:r>
          </w:p>
        </w:tc>
        <w:tc>
          <w:tcPr>
            <w:tcW w:w="1134" w:type="dxa"/>
            <w:tcBorders>
              <w:top w:val="single" w:sz="4" w:space="0" w:shadow="0" w:frame="0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2,56</w:t>
            </w:r>
          </w:p>
        </w:tc>
      </w:tr>
      <w:tr>
        <w:trPr>
          <w:wBefore w:w="0" w:type="dxa"/>
          <w:wAfter w:w="0" w:type="dxa"/>
          <w:trHeight w:hRule="atLeast" w:val="528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21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vAlign w:val="bottom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Внески на загальнообов'язкове державне страхування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96 307,20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0,56</w:t>
            </w:r>
          </w:p>
        </w:tc>
      </w:tr>
      <w:tr>
        <w:trPr>
          <w:wBefore w:w="0" w:type="dxa"/>
          <w:wAfter w:w="0" w:type="dxa"/>
          <w:trHeight w:hRule="atLeast" w:val="264"/>
        </w:trPr>
        <w:tc>
          <w:tcPr>
            <w:tcW w:w="1985" w:type="dxa"/>
            <w:tcBorders>
              <w:top w:val="nil"/>
              <w:left w:val="single" w:sz="4" w:space="0" w:shadow="0" w:frame="0"/>
              <w:bottom w:val="nil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22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single" w:sz="4" w:space="0" w:shadow="0" w:frame="0"/>
            </w:tcBorders>
            <w:vAlign w:val="bottom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Витрати на оренду приміщення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324 546,60</w:t>
            </w:r>
          </w:p>
        </w:tc>
        <w:tc>
          <w:tcPr>
            <w:tcW w:w="1134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1,90</w:t>
            </w:r>
          </w:p>
        </w:tc>
      </w:tr>
      <w:tr>
        <w:trPr>
          <w:wBefore w:w="0" w:type="dxa"/>
          <w:wAfter w:w="0" w:type="dxa"/>
          <w:trHeight w:hRule="atLeast" w:val="264"/>
        </w:trPr>
        <w:tc>
          <w:tcPr>
            <w:tcW w:w="1985" w:type="dxa"/>
            <w:tcBorders>
              <w:top w:val="single" w:sz="4" w:space="0" w:shadow="0" w:frame="0"/>
              <w:left w:val="single" w:sz="4" w:space="0" w:shadow="0" w:frame="0"/>
              <w:bottom w:val="nil"/>
              <w:right w:val="single" w:sz="4" w:space="0" w:shadow="0" w:frame="0"/>
            </w:tcBorders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/>
              <w:left w:val="nil"/>
              <w:bottom w:val="nil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23</w:t>
            </w:r>
          </w:p>
        </w:tc>
        <w:tc>
          <w:tcPr>
            <w:tcW w:w="3269" w:type="dxa"/>
            <w:tcBorders>
              <w:top w:val="single" w:sz="4" w:space="0" w:shadow="0" w:frame="0"/>
              <w:left w:val="nil"/>
              <w:bottom w:val="nil"/>
              <w:right w:val="single" w:sz="4" w:space="0" w:shadow="0" w:frame="0"/>
            </w:tcBorders>
            <w:vAlign w:val="bottom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Витрати на виготовлення розрахункових документів</w:t>
            </w:r>
          </w:p>
        </w:tc>
        <w:tc>
          <w:tcPr>
            <w:tcW w:w="1134" w:type="dxa"/>
            <w:tcBorders>
              <w:top w:val="single" w:sz="4" w:space="0" w:shadow="0" w:frame="0"/>
              <w:left w:val="nil"/>
              <w:bottom w:val="nil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single" w:sz="4" w:space="0" w:shadow="0" w:frame="0"/>
              <w:left w:val="nil"/>
              <w:bottom w:val="nil"/>
              <w:right w:val="nil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170 147,85</w:t>
            </w:r>
          </w:p>
        </w:tc>
        <w:tc>
          <w:tcPr>
            <w:tcW w:w="1134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1,00</w:t>
            </w:r>
          </w:p>
        </w:tc>
      </w:tr>
      <w:tr>
        <w:trPr>
          <w:wBefore w:w="0" w:type="dxa"/>
          <w:wAfter w:w="0" w:type="dxa"/>
          <w:trHeight w:hRule="atLeast" w:val="324"/>
        </w:trPr>
        <w:tc>
          <w:tcPr>
            <w:tcW w:w="6804" w:type="dxa"/>
            <w:gridSpan w:val="4"/>
            <w:tcBorders>
              <w:top w:val="single" w:sz="4" w:space="0" w:shadow="0" w:frame="0"/>
              <w:left w:val="single" w:sz="4" w:space="0" w:shadow="0" w:frame="0"/>
              <w:bottom w:val="single" w:sz="8" w:space="0" w:shadow="0" w:frame="0"/>
              <w:right w:val="single" w:sz="4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Загальна сума витрат на збут:</w:t>
            </w:r>
          </w:p>
        </w:tc>
        <w:tc>
          <w:tcPr>
            <w:tcW w:w="1701" w:type="dxa"/>
            <w:tcBorders>
              <w:top w:val="single" w:sz="4" w:space="0" w:shadow="0" w:frame="0"/>
              <w:left w:val="nil"/>
              <w:bottom w:val="single" w:sz="8" w:space="0" w:shadow="0" w:frame="0"/>
              <w:right w:val="nil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1 028 761,650</w:t>
            </w:r>
          </w:p>
        </w:tc>
        <w:tc>
          <w:tcPr>
            <w:tcW w:w="1134" w:type="dxa"/>
            <w:tcBorders>
              <w:top w:val="nil"/>
              <w:left w:val="single" w:sz="4" w:space="0" w:shadow="0" w:frame="0"/>
              <w:bottom w:val="single" w:sz="8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6,03</w:t>
            </w:r>
          </w:p>
        </w:tc>
      </w:tr>
      <w:tr>
        <w:trPr>
          <w:wBefore w:w="0" w:type="dxa"/>
          <w:wAfter w:w="0" w:type="dxa"/>
          <w:trHeight w:hRule="atLeast" w:val="324"/>
        </w:trPr>
        <w:tc>
          <w:tcPr>
            <w:tcW w:w="1985" w:type="dxa"/>
            <w:tcBorders>
              <w:top w:val="nil"/>
              <w:left w:val="single" w:sz="4" w:space="0" w:shadow="0" w:frame="0"/>
              <w:bottom w:val="single" w:sz="8" w:space="0" w:shadow="0" w:frame="0"/>
              <w:right w:val="single" w:sz="4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Витрати на знешкодження відходів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shadow="0" w:frame="0"/>
              <w:right w:val="single" w:sz="4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24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shadow="0" w:frame="0"/>
              <w:right w:val="single" w:sz="4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Витрати на захоронення та знешкодження відходів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shadow="0" w:frame="0"/>
              <w:right w:val="single" w:sz="4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shadow="0" w:frame="0"/>
              <w:right w:val="single" w:sz="4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8 995 293,148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center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52,70</w:t>
            </w:r>
          </w:p>
        </w:tc>
      </w:tr>
      <w:tr>
        <w:trPr>
          <w:wBefore w:w="0" w:type="dxa"/>
          <w:wAfter w:w="0" w:type="dxa"/>
          <w:trHeight w:hRule="atLeast" w:val="660"/>
        </w:trPr>
        <w:tc>
          <w:tcPr>
            <w:tcW w:w="6804" w:type="dxa"/>
            <w:gridSpan w:val="4"/>
            <w:tcBorders>
              <w:top w:val="nil"/>
              <w:left w:val="single" w:sz="4" w:space="0" w:shadow="0" w:frame="0"/>
              <w:bottom w:val="single" w:sz="4" w:space="0" w:shadow="0" w:frame="0"/>
              <w:right w:val="nil"/>
            </w:tcBorders>
            <w:noWrap/>
            <w:vAlign w:val="bottom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Повна собівартість (вивезення , збір, утилізація)</w:t>
            </w:r>
          </w:p>
        </w:tc>
        <w:tc>
          <w:tcPr>
            <w:tcW w:w="1701" w:type="dxa"/>
            <w:tcBorders>
              <w:top w:val="nil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bottom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33 635 685,65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bottom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197,09</w:t>
            </w:r>
          </w:p>
        </w:tc>
      </w:tr>
      <w:tr>
        <w:trPr>
          <w:wBefore w:w="0" w:type="dxa"/>
          <w:wAfter w:w="0" w:type="dxa"/>
          <w:trHeight w:hRule="atLeast" w:val="324"/>
        </w:trPr>
        <w:tc>
          <w:tcPr>
            <w:tcW w:w="6804" w:type="dxa"/>
            <w:gridSpan w:val="4"/>
            <w:tcBorders>
              <w:top w:val="single" w:sz="4" w:space="0" w:shadow="0" w:frame="0"/>
              <w:left w:val="single" w:sz="4" w:space="0" w:shadow="0" w:frame="0"/>
              <w:bottom w:val="single" w:sz="8" w:space="0" w:shadow="0" w:frame="0"/>
              <w:right w:val="nil"/>
            </w:tcBorders>
            <w:noWrap/>
            <w:vAlign w:val="bottom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Планований прибуток</w:t>
            </w:r>
          </w:p>
        </w:tc>
        <w:tc>
          <w:tcPr>
            <w:tcW w:w="1701" w:type="dxa"/>
            <w:tcBorders>
              <w:top w:val="nil"/>
              <w:left w:val="single" w:sz="4" w:space="0" w:shadow="0" w:frame="0"/>
              <w:bottom w:val="single" w:sz="8" w:space="0" w:shadow="0" w:frame="0"/>
              <w:right w:val="single" w:sz="4" w:space="0" w:shadow="0" w:frame="0"/>
            </w:tcBorders>
            <w:noWrap/>
            <w:vAlign w:val="bottom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1 561 657,95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bottom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9,15</w:t>
            </w:r>
          </w:p>
        </w:tc>
      </w:tr>
      <w:tr>
        <w:trPr>
          <w:wBefore w:w="0" w:type="dxa"/>
          <w:wAfter w:w="0" w:type="dxa"/>
          <w:trHeight w:hRule="atLeast" w:val="312"/>
        </w:trPr>
        <w:tc>
          <w:tcPr>
            <w:tcW w:w="6804" w:type="dxa"/>
            <w:gridSpan w:val="4"/>
            <w:tcBorders>
              <w:top w:val="nil"/>
              <w:left w:val="single" w:sz="4" w:space="0" w:shadow="0" w:frame="0"/>
              <w:bottom w:val="single" w:sz="4" w:space="0" w:shadow="0" w:frame="0"/>
              <w:right w:val="nil"/>
            </w:tcBorders>
            <w:noWrap/>
            <w:vAlign w:val="bottom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 xml:space="preserve">Тариф на вивезення твердих побутових відходів без ПДВ </w:t>
            </w:r>
          </w:p>
        </w:tc>
        <w:tc>
          <w:tcPr>
            <w:tcW w:w="1701" w:type="dxa"/>
            <w:tcBorders>
              <w:top w:val="single" w:sz="8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bottom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206,24</w:t>
            </w:r>
          </w:p>
        </w:tc>
      </w:tr>
      <w:tr>
        <w:trPr>
          <w:wBefore w:w="0" w:type="dxa"/>
          <w:wAfter w:w="0" w:type="dxa"/>
          <w:trHeight w:hRule="atLeast" w:val="312"/>
        </w:trPr>
        <w:tc>
          <w:tcPr>
            <w:tcW w:w="6804" w:type="dxa"/>
            <w:gridSpan w:val="4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bottom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ПДВ 20%</w:t>
            </w:r>
          </w:p>
        </w:tc>
        <w:tc>
          <w:tcPr>
            <w:tcW w:w="170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bottom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41,25</w:t>
            </w:r>
          </w:p>
        </w:tc>
      </w:tr>
      <w:tr>
        <w:trPr>
          <w:wBefore w:w="0" w:type="dxa"/>
          <w:wAfter w:w="0" w:type="dxa"/>
          <w:trHeight w:hRule="atLeast" w:val="324"/>
        </w:trPr>
        <w:tc>
          <w:tcPr>
            <w:tcW w:w="6804" w:type="dxa"/>
            <w:gridSpan w:val="4"/>
            <w:tcBorders>
              <w:top w:val="single" w:sz="4" w:space="0" w:shadow="0" w:frame="0"/>
              <w:left w:val="single" w:sz="4" w:space="0" w:shadow="0" w:frame="0"/>
              <w:bottom w:val="single" w:sz="8" w:space="0" w:shadow="0" w:frame="0"/>
              <w:right w:val="single" w:sz="4" w:space="0" w:shadow="0" w:frame="0"/>
            </w:tcBorders>
            <w:noWrap/>
            <w:vAlign w:val="bottom"/>
            <w:hideMark/>
          </w:tcPr>
          <w:p>
            <w:pPr>
              <w:widowControl w:val="1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/>
              </w:rPr>
              <w:t>Тариф вивезення 1 куб.м твердих побутових відходів з урахуванням ПДВ</w:t>
            </w:r>
          </w:p>
        </w:tc>
        <w:tc>
          <w:tcPr>
            <w:tcW w:w="1701" w:type="dxa"/>
            <w:tcBorders>
              <w:top w:val="single" w:sz="4" w:space="0" w:shadow="0" w:frame="0"/>
              <w:left w:val="single" w:sz="4" w:space="0" w:shadow="0" w:frame="0"/>
              <w:bottom w:val="single" w:sz="8" w:space="0" w:shadow="0" w:frame="0"/>
              <w:right w:val="single" w:sz="4" w:space="0" w:shadow="0" w:frame="0"/>
            </w:tcBorders>
            <w:noWrap/>
            <w:vAlign w:val="top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left"/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shadow="0" w:frame="0"/>
              <w:right w:val="single" w:sz="8" w:space="0" w:shadow="0" w:frame="0"/>
            </w:tcBorders>
            <w:shd w:val="clear" w:color="auto" w:fill="FFFFFF" w:themeFill="light1"/>
            <w:noWrap/>
            <w:vAlign w:val="bottom"/>
            <w:hideMark/>
          </w:tcPr>
          <w:p>
            <w:pPr>
              <w:widowControl w:val="1"/>
              <w:spacing w:lineRule="auto" w:line="276" w:after="200"/>
              <w:ind w:left="0" w:right="0"/>
              <w:bidi w:val="0"/>
              <w:jc w:val="right"/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bCs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247,48</w:t>
            </w:r>
          </w:p>
        </w:tc>
      </w:tr>
    </w:tbl>
    <w:p>
      <w:pPr>
        <w:widowControl w:val="1"/>
        <w:ind w:left="0" w:right="0"/>
        <w:bidi w:val="0"/>
        <w:jc w:val="left"/>
        <w:rPr>
          <w:rFonts w:ascii="Times New Roman" w:hAnsi="Times New Roman"/>
          <w:iCs w:val="1"/>
          <w:sz w:val="28"/>
          <w:szCs w:val="28"/>
        </w:rPr>
      </w:pPr>
    </w:p>
    <w:p>
      <w:pPr>
        <w:widowControl w:val="1"/>
        <w:ind w:left="0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Міський голова </w:t>
        <w:tab/>
        <w:tab/>
        <w:tab/>
        <w:tab/>
        <w:tab/>
        <w:tab/>
        <w:tab/>
        <w:tab/>
        <w:t>Ігор САПОЖКО</w:t>
      </w:r>
    </w:p>
    <w:p>
      <w:pPr>
        <w:widowControl w:val="1"/>
        <w:ind w:left="0" w:right="0"/>
        <w:bidi w:val="0"/>
        <w:jc w:val="left"/>
        <w:rPr>
          <w:rFonts w:ascii="Times New Roman" w:hAnsi="Times New Roman"/>
          <w:iCs w:val="1"/>
          <w:sz w:val="28"/>
          <w:szCs w:val="28"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 </w:t>
      </w: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                                   </w:t>
      </w:r>
      <w:permEnd w:id="1"/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0"/>
      <w:pgMar w:left="1701" w:right="707" w:top="1135" w:bottom="993" w:header="708" w:footer="708" w:gutter="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2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tabs>
        <w:tab w:val="center" w:pos="4819" w:leader="none"/>
        <w:tab w:val="right" w:pos="9639" w:leader="none"/>
      </w:tabs>
      <w:spacing w:lineRule="auto" w:line="240" w:after="0" w:beforeAutospacing="0" w:afterAutospacing="0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0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P1"/>
      <w:rPr>
        <w:rFonts w:ascii="Times New Roman" w:hAnsi="Times New Roman"/>
        <w:sz w:val="24"/>
        <w:szCs w:val="24"/>
      </w:rPr>
    </w:pPr>
    <w:bookmarkEnd w:id="0"/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fv6FMaeuDw==" w:salt="Onl2dT8yCUWp5Faq/HXS+w=="/>
  <w:defaultTabStop w:val="708"/>
  <w:autoHyphenation w:val="0"/>
  <w:hyphenationZone w:val="425"/>
  <w:evenAndOddHeaders w:val="0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uk-UA" w:bidi="ar-SA" w:eastAsia="uk-UA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3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4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Верхний колонтитул Знак"/>
    <w:basedOn w:val="C0"/>
    <w:link w:val="P1"/>
    <w:rPr/>
  </w:style>
  <w:style w:type="character" w:styleId="C4">
    <w:name w:val="Нижний колонтитул Знак"/>
    <w:basedOn w:val="C0"/>
    <w:link w:val="P2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</dc:creator>
  <dcterms:created xsi:type="dcterms:W3CDTF">2021-08-31T06:42:00Z</dcterms:created>
  <cp:lastModifiedBy>ASKOD</cp:lastModifiedBy>
  <dcterms:modified xsi:type="dcterms:W3CDTF">2022-11-09T14:14:26Z</dcterms:modified>
  <cp:revision>22</cp:revision>
  <dc:title>Продовження додатку</dc:title>
</cp:coreProperties>
</file>