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ПВ-208</w:t>
      </w:r>
    </w:p>
    <w:p>
      <w:pPr>
        <w:tabs>
          <w:tab w:val="left" w:pos="5610"/>
          <w:tab w:val="left" w:pos="6358"/>
        </w:tabs>
        <w:spacing w:beforeAutospacing="0" w:after="0" w:afterAutospacing="0"/>
        <w:ind w:left="5103"/>
        <w:jc w:val="center"/>
        <w:rPr>
          <w:rFonts w:ascii="Times New Roman" w:hAnsi="Times New Roman"/>
          <w:b/>
          <w:bCs/>
          <w:sz w:val="24"/>
          <w:szCs w:val="24"/>
        </w:rPr>
      </w:pPr>
    </w:p>
    <w:p>
      <w:pPr>
        <w:widowControl/>
        <w:bidi w:val="0"/>
        <w:spacing w:after="0"/>
        <w:ind w:left="5139" w:right="0" w:firstLine="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permStart w:id="0" w:edGrp="everyone"/>
      <w:r>
        <w:rPr>
          <w:rFonts w:ascii="Times New Roman" w:hAnsi="Times New Roman"/>
          <w:b w:val="0"/>
          <w:bCs w:val="0"/>
          <w:i w:val="0"/>
          <w:caps w:val="0"/>
          <w:strike w:val="0"/>
          <w:noProof w:val="0"/>
          <w:vanish w:val="0"/>
          <w:color w:val="auto"/>
          <w:sz w:val="28"/>
          <w:u w:val="none"/>
          <w:shd w:val="clear" w:color="auto" w:fill="auto"/>
          <w:vertAlign w:val="baseline"/>
          <w:lang w:val="x-none"/>
        </w:rPr>
        <w:t>Додаток</w:t>
      </w:r>
    </w:p>
    <w:p>
      <w:pPr>
        <w:widowControl/>
        <w:bidi w:val="0"/>
        <w:spacing w:after="0"/>
        <w:ind w:left="5139" w:right="0" w:firstLine="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ЗАТВЕРДЖЕНО</w:t>
      </w:r>
    </w:p>
    <w:p>
      <w:pPr>
        <w:widowControl/>
        <w:bidi w:val="0"/>
        <w:spacing w:after="0"/>
        <w:ind w:left="5139" w:right="0" w:firstLine="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рішення виконавчого комітету</w:t>
      </w:r>
    </w:p>
    <w:p>
      <w:pPr>
        <w:widowControl/>
        <w:bidi w:val="0"/>
        <w:spacing w:after="0"/>
        <w:ind w:left="5139" w:right="0" w:firstLine="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Броварської міської ради Броварського району </w:t>
      </w:r>
    </w:p>
    <w:p>
      <w:pPr>
        <w:widowControl/>
        <w:bidi w:val="0"/>
        <w:spacing w:after="0"/>
        <w:ind w:left="5139" w:right="0" w:firstLine="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Київської області</w:t>
      </w:r>
    </w:p>
    <w:p>
      <w:pPr>
        <w:widowControl/>
        <w:bidi w:val="0"/>
        <w:spacing w:after="0"/>
        <w:ind w:left="5139" w:right="-249" w:firstLine="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від  _________2022 року №________</w:t>
      </w:r>
    </w:p>
    <w:p>
      <w:pPr>
        <w:tabs>
          <w:tab w:val="left" w:pos="5610"/>
          <w:tab w:val="left" w:pos="6358"/>
        </w:tabs>
        <w:spacing w:beforeAutospacing="0" w:after="0" w:afterAutospacing="0"/>
        <w:ind w:left="5103"/>
        <w:rPr>
          <w:rFonts w:ascii="Times New Roman" w:hAnsi="Times New Roman"/>
          <w:smallCaps w:val="0"/>
          <w:snapToGrid/>
          <w:spacing w:val="0"/>
          <w:w w:val="100"/>
          <w:position w:val="0"/>
          <w:sz w:val="28"/>
          <w:szCs w:val="22"/>
          <w:cs w:val="0"/>
        </w:rPr>
      </w:pPr>
    </w:p>
    <w:p>
      <w:pPr>
        <w:spacing w:beforeAutospacing="0" w:after="0" w:afterAutospacing="0"/>
        <w:rPr>
          <w:rFonts w:ascii="Times New Roman" w:hAnsi="Times New Roman"/>
          <w:sz w:val="28"/>
          <w:szCs w:val="28"/>
        </w:rPr>
      </w:pPr>
    </w:p>
    <w:p>
      <w:pPr>
        <w:widowControl/>
        <w:bidi w:val="0"/>
        <w:spacing w:line="276" w:lineRule="auto"/>
        <w:ind w:left="0" w:right="0"/>
        <w:jc w:val="center"/>
        <w:rPr>
          <w:rFonts w:ascii="Times New Roman" w:hAnsi="Times New Roman"/>
          <w:b/>
          <w:bCs/>
          <w:i w:val="0"/>
          <w:caps w:val="0"/>
          <w:strike w:val="0"/>
          <w:noProof w:val="0"/>
          <w:vanish w:val="0"/>
          <w:color w:val="auto"/>
          <w:sz w:val="28"/>
          <w:u w:val="none"/>
          <w:shd w:val="clear" w:color="auto" w:fill="auto"/>
          <w:vertAlign w:val="baseline"/>
          <w:lang w:val="x-none"/>
        </w:rPr>
      </w:pPr>
      <w:r>
        <w:rPr>
          <w:rFonts w:ascii="Times New Roman" w:hAnsi="Times New Roman"/>
          <w:b/>
          <w:bCs/>
          <w:i w:val="0"/>
          <w:caps w:val="0"/>
          <w:strike w:val="0"/>
          <w:noProof w:val="0"/>
          <w:vanish w:val="0"/>
          <w:color w:val="auto"/>
          <w:sz w:val="28"/>
          <w:u w:val="none"/>
          <w:shd w:val="clear" w:color="auto" w:fill="auto"/>
          <w:vertAlign w:val="baseline"/>
          <w:lang w:val="x-none"/>
        </w:rPr>
        <w:t>ПОЛОЖЕННЯ</w:t>
      </w:r>
    </w:p>
    <w:p>
      <w:pPr>
        <w:widowControl/>
        <w:bidi w:val="0"/>
        <w:spacing w:line="276" w:lineRule="auto"/>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про виплату про виплату студентської премії міського голови кращим студентам Броварської МТГ</w:t>
      </w:r>
    </w:p>
    <w:p>
      <w:pPr>
        <w:widowControl/>
        <w:bidi w:val="0"/>
        <w:spacing w:line="276" w:lineRule="auto"/>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p>
    <w:p>
      <w:pPr>
        <w:widowControl/>
        <w:bidi w:val="0"/>
        <w:ind w:left="0" w:right="0"/>
        <w:jc w:val="both"/>
        <w:rPr>
          <w:rFonts w:ascii="Times New Roman" w:hAnsi="Times New Roman"/>
          <w:b/>
          <w:sz w:val="28"/>
          <w:szCs w:val="28"/>
        </w:rPr>
      </w:pPr>
      <w:r>
        <w:rPr>
          <w:rFonts w:ascii="Times New Roman" w:hAnsi="Times New Roman"/>
          <w:b/>
          <w:bCs/>
          <w:i w:val="0"/>
          <w:caps w:val="0"/>
          <w:strike w:val="0"/>
          <w:noProof w:val="0"/>
          <w:vanish w:val="0"/>
          <w:color w:val="auto"/>
          <w:sz w:val="28"/>
          <w:u w:val="none"/>
          <w:shd w:val="clear" w:color="auto" w:fill="auto"/>
          <w:vertAlign w:val="baseline"/>
          <w:lang w:val="x-none"/>
        </w:rPr>
        <w:t>Відповідальна організація:</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відділ сім’ї та молоді виконавчого комітету Броварської міської ради Броварського району Київської області</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РОЗДІЛ 1.</w:t>
      </w:r>
    </w:p>
    <w:p>
      <w:pPr>
        <w:widowControl/>
        <w:tabs>
          <w:tab w:val="left" w:pos="0"/>
        </w:tabs>
        <w:bidi w:val="0"/>
        <w:ind w:left="0" w:right="0"/>
        <w:contextualSpacing/>
        <w:jc w:val="both"/>
        <w:rPr>
          <w:rFonts w:ascii="Times New Roman" w:hAnsi="Times New Roman"/>
          <w:b w:val="0"/>
          <w:bCs w:val="0"/>
          <w:i w:val="0"/>
          <w:caps w:val="0"/>
          <w:strike w:val="0"/>
          <w:noProof w:val="0"/>
          <w:vanish w:val="0"/>
          <w:color w:val="000000"/>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1.1. </w:t>
      </w:r>
      <w:r>
        <w:rPr>
          <w:rFonts w:ascii="Times New Roman" w:hAnsi="Times New Roman"/>
          <w:b w:val="0"/>
          <w:bCs w:val="0"/>
          <w:i w:val="0"/>
          <w:caps w:val="0"/>
          <w:strike w:val="0"/>
          <w:noProof w:val="0"/>
          <w:vanish w:val="0"/>
          <w:color w:val="auto"/>
          <w:sz w:val="28"/>
          <w:u w:val="none"/>
          <w:shd w:val="clear" w:color="auto" w:fill="auto"/>
          <w:vertAlign w:val="baseline"/>
          <w:lang w:val="x-none"/>
        </w:rPr>
        <w:t>Назва: Виплата про виплату студентської премії міського голови кращим студентам Броварської МТГ</w:t>
      </w:r>
      <w:r>
        <w:rPr>
          <w:rFonts w:ascii="Times New Roman" w:hAnsi="Times New Roman"/>
          <w:b w:val="0"/>
          <w:bCs w:val="0"/>
          <w:i w:val="0"/>
          <w:caps w:val="0"/>
          <w:strike w:val="0"/>
          <w:noProof w:val="0"/>
          <w:vanish w:val="0"/>
          <w:color w:val="000000"/>
          <w:sz w:val="28"/>
          <w:u w:val="none"/>
          <w:shd w:val="clear" w:color="auto" w:fill="auto"/>
          <w:vertAlign w:val="baseline"/>
          <w:lang w:val="x-none"/>
        </w:rPr>
        <w:t>.</w:t>
      </w:r>
    </w:p>
    <w:p>
      <w:pPr>
        <w:widowControl/>
        <w:bidi w:val="0"/>
        <w:ind w:left="0" w:right="0"/>
        <w:jc w:val="both"/>
        <w:rPr>
          <w:rFonts w:ascii="Times New Roman" w:hAnsi="Times New Roman"/>
          <w:b w:val="0"/>
          <w:bCs w:val="0"/>
          <w:i w:val="0"/>
          <w:caps w:val="0"/>
          <w:strike w:val="0"/>
          <w:noProof w:val="0"/>
          <w:vanish w:val="0"/>
          <w:color w:val="000000"/>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1.2. Значення: поширюється на територію Броварської міської територіальної громади</w:t>
      </w:r>
      <w:r>
        <w:rPr>
          <w:rFonts w:ascii="Times New Roman" w:hAnsi="Times New Roman"/>
          <w:b w:val="0"/>
          <w:bCs w:val="0"/>
          <w:i w:val="0"/>
          <w:caps w:val="0"/>
          <w:strike w:val="0"/>
          <w:noProof w:val="0"/>
          <w:vanish w:val="0"/>
          <w:color w:val="000000"/>
          <w:sz w:val="28"/>
          <w:u w:val="none"/>
          <w:shd w:val="clear" w:color="auto" w:fill="auto"/>
          <w:vertAlign w:val="baseline"/>
          <w:lang w:val="x-none"/>
        </w:rPr>
        <w:t>.</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1.3. Рівень проведення: місцевий.</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1.4. Цільова спрямованість заходу: відзначення та заохочення кращих студентів Броварської міської територіальної громади.</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1.5. Підстава для розроблення заходу: підпункт 5.3 пункту 5 Програми підтримки молодих сімей та розвитку молоді «Молодь в дії» на 2022-2026 роки, затвердженої рішенням Броварської міської ради Броварського району Київської області від 23.12.2021 року № 603-19-08 (зі змінами)</w:t>
      </w:r>
      <w:r>
        <w:rPr>
          <w:rFonts w:ascii="Times New Roman" w:hAnsi="Times New Roman"/>
          <w:b w:val="0"/>
          <w:bCs w:val="0"/>
          <w:i w:val="0"/>
          <w:caps w:val="0"/>
          <w:strike w:val="0"/>
          <w:noProof w:val="0"/>
          <w:vanish w:val="0"/>
          <w:color w:val="000000"/>
          <w:sz w:val="28"/>
          <w:u w:val="none"/>
          <w:shd w:val="clear" w:color="auto" w:fill="auto"/>
          <w:vertAlign w:val="baseline"/>
          <w:lang w:val="x-none"/>
        </w:rPr>
        <w:t xml:space="preserve"> «</w:t>
      </w:r>
      <w:r>
        <w:rPr>
          <w:rFonts w:ascii="Times New Roman" w:hAnsi="Times New Roman"/>
          <w:b w:val="0"/>
          <w:bCs w:val="0"/>
          <w:i w:val="0"/>
          <w:caps w:val="0"/>
          <w:strike w:val="0"/>
          <w:noProof w:val="0"/>
          <w:vanish w:val="0"/>
          <w:color w:val="auto"/>
          <w:sz w:val="28"/>
          <w:u w:val="none"/>
          <w:shd w:val="clear" w:color="auto" w:fill="auto"/>
          <w:vertAlign w:val="baseline"/>
          <w:lang w:val="x-none"/>
        </w:rPr>
        <w:t>Виплата про виплату студентської премії міського голови кращим студентам Броварської МТГ</w:t>
      </w:r>
      <w:r>
        <w:rPr>
          <w:rFonts w:ascii="Times New Roman" w:hAnsi="Times New Roman"/>
          <w:b w:val="0"/>
          <w:bCs w:val="0"/>
          <w:i w:val="0"/>
          <w:caps w:val="0"/>
          <w:strike w:val="0"/>
          <w:noProof w:val="0"/>
          <w:vanish w:val="0"/>
          <w:color w:val="000000"/>
          <w:sz w:val="28"/>
          <w:u w:val="none"/>
          <w:shd w:val="clear" w:color="auto" w:fill="auto"/>
          <w:vertAlign w:val="baseline"/>
          <w:lang w:val="x-none"/>
        </w:rPr>
        <w:t xml:space="preserve">» </w:t>
      </w:r>
      <w:r>
        <w:rPr>
          <w:rFonts w:ascii="Times New Roman" w:hAnsi="Times New Roman"/>
          <w:b w:val="0"/>
          <w:bCs w:val="0"/>
          <w:i w:val="0"/>
          <w:caps w:val="0"/>
          <w:strike w:val="0"/>
          <w:noProof w:val="0"/>
          <w:vanish w:val="0"/>
          <w:color w:val="auto"/>
          <w:sz w:val="28"/>
          <w:u w:val="none"/>
          <w:shd w:val="clear" w:color="auto" w:fill="auto"/>
          <w:vertAlign w:val="baseline"/>
          <w:lang w:val="x-none"/>
        </w:rPr>
        <w:t>(програма розрахована на наступні населені пункти: місто Бровари, село Требухів, село Княжичі, село Переможець).</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РОЗДІЛ 2.</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2.1. Відповідальна організація: відділ сім’ї та молоді виконавчого комітету Броварської міської ради Броварського району Київської області.</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2.2. Керівник організації або відповідальна особа: Ярмоленко Аліна Анатоліївна – начальник відділу сім’ї та молоді виконавчого комітету Броварської міської ради Броварського району Київської області.</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2.3 Перелік організацій, які беруть участь у заході: відділ сім’ї та молоді виконавчого комітету Броварської міської ради Броварського району Київської області.</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РОЗДІЛ 3.</w:t>
      </w:r>
    </w:p>
    <w:p>
      <w:pPr>
        <w:widowControl/>
        <w:bidi w:val="0"/>
        <w:ind w:left="0" w:right="0"/>
        <w:jc w:val="both"/>
        <w:rPr>
          <w:rFonts w:ascii="Times New Roman" w:hAnsi="Times New Roman"/>
          <w:b/>
          <w:bCs w:val="0"/>
          <w:i w:val="0"/>
          <w:caps w:val="0"/>
          <w:strike w:val="0"/>
          <w:noProof w:val="0"/>
          <w:vanish w:val="0"/>
          <w:color w:val="000000"/>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Кількість учасників заходу: </w:t>
      </w:r>
      <w:r>
        <w:rPr>
          <w:rFonts w:ascii="Times New Roman" w:hAnsi="Times New Roman"/>
          <w:b/>
          <w:bCs w:val="0"/>
          <w:i w:val="0"/>
          <w:caps w:val="0"/>
          <w:strike w:val="0"/>
          <w:noProof w:val="0"/>
          <w:vanish w:val="0"/>
          <w:color w:val="000000"/>
          <w:sz w:val="28"/>
          <w:u w:val="none"/>
          <w:shd w:val="clear" w:color="auto" w:fill="auto"/>
          <w:vertAlign w:val="baseline"/>
          <w:lang w:val="x-none"/>
        </w:rPr>
        <w:t>5.</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РОЗДІЛ 4.</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Основні положення</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4.1.</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Студентські премії міського голови (далі – Премії) виплачуються студентам (здобувачам вищої освіти рівня Бакалавр та Магістр), які навчаються у вищих навчальних закладах міста Києва, з метою підвищення престижу освіти та науки, морального і матеріального заохочення молоді до здобуття вищої освіти, за особливі успіхи у навчанні (середній бал – не нижче 85), науковій діяльності, громадському житті.</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4.2.</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Виплачуються 5 студентських премій на рік з розрахунку: по 6 (шість) тис. грн. (з урахуванням податку) на одну особу (студента).</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4.3.</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Кандидатами на отримання студентської премії міського голови можуть бути студенти денної форми навчання вищих навчальних закладів міста Києва (здобувачі вищої освіти рівня Бакалавр та Магістр), зареєстровані у м. Бровари, а також селах Княжичі</w:t>
      </w:r>
      <w:r>
        <w:rPr>
          <w:rFonts w:ascii="Times New Roman" w:hAnsi="Times New Roman"/>
          <w:b/>
          <w:bCs w:val="0"/>
          <w:i w:val="0"/>
          <w:caps w:val="0"/>
          <w:strike w:val="0"/>
          <w:noProof w:val="0"/>
          <w:vanish w:val="0"/>
          <w:color w:val="auto"/>
          <w:sz w:val="28"/>
          <w:u w:val="none"/>
          <w:shd w:val="clear" w:color="auto" w:fill="auto"/>
          <w:vertAlign w:val="baseline"/>
          <w:lang w:val="x-none"/>
        </w:rPr>
        <w:t>,</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Требухів та Переможець Броварського району (програма розрахована на вказані населені пункти у зв’язку з приєднанням останніх до утвореної Броварської міської територіальної громади - рішення міської ради від 09.02.2021р. № 14-01-08), які, за підсумками року (період: 2021-2022 н.р.), мають бали від «85» і вище. Також, під час розгляду кандидатів враховуються наступні критерії:</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-участь у науковій роботі ВНЗ, активна участь у наукових конференціях, олімпіадах, підтверджена довідкою кафедр або наукових установ;</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-професійне заняття спортом;</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-активна громадська позиція, зокрема:</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а) участь у молодіжних громадських об’єднаннях, лідерство в органах студентського </w:t>
      </w:r>
      <w:r>
        <w:rPr>
          <w:rFonts w:ascii="Times New Roman" w:hAnsi="Times New Roman"/>
          <w:b w:val="0"/>
          <w:bCs w:val="0"/>
          <w:i w:val="0"/>
          <w:caps w:val="0"/>
          <w:strike w:val="0"/>
          <w:noProof w:val="0"/>
          <w:vanish w:val="0"/>
          <w:color w:val="auto"/>
          <w:sz w:val="28"/>
          <w:u w:val="none"/>
          <w:shd w:val="clear" w:color="auto" w:fill="auto"/>
          <w:vertAlign w:val="baseline"/>
          <w:lang w:val="x-none"/>
        </w:rPr>
        <w:t>самоврядування;</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б) розробка та впровадження молодіжних тематичних проектів серед студентського кола;</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в) соціальна робота з молоддю у якості волонтерів;</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г) пропаганда здорового способу життя через участь у спортивних, аматорських та професійних командах;</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д) участь у студентських мистецьких об’єднаннях і т.д.</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4.4.</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Для організації роботи щодо конкурсного відбору кандидатур та висунення кандидатів на здобуття Премії утворюється Комісія </w:t>
      </w:r>
      <w:bookmarkStart w:id="1" w:name="_Hlk119492842"/>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по визначенню кандидатур на призначення студентської премії міського голови кращим студентам </w:t>
      </w:r>
      <w:bookmarkEnd w:id="1"/>
      <w:r>
        <w:rPr>
          <w:rFonts w:ascii="Times New Roman" w:hAnsi="Times New Roman"/>
          <w:b w:val="0"/>
          <w:bCs w:val="0"/>
          <w:i w:val="0"/>
          <w:caps w:val="0"/>
          <w:strike w:val="0"/>
          <w:noProof w:val="0"/>
          <w:vanish w:val="0"/>
          <w:color w:val="auto"/>
          <w:sz w:val="28"/>
          <w:u w:val="none"/>
          <w:shd w:val="clear" w:color="auto" w:fill="auto"/>
          <w:vertAlign w:val="baseline"/>
          <w:lang w:val="x-none"/>
        </w:rPr>
        <w:t>Броварської МТГ (далі – Комісія).</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4.5.</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Склад Комісії затверджується рішенням виконавчого комітету Броварської міської ради Броварського району Київської області.</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4.6.</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Засідання Комісії проходить у два етапи:</w:t>
      </w:r>
    </w:p>
    <w:p>
      <w:pPr>
        <w:widowControl/>
        <w:bidi w:val="0"/>
        <w:spacing w:line="276" w:lineRule="auto"/>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1 етап – розгляд усіх заяв та документів від претендентів на виплату стипендії, що надійшли до відділу сім’ї та молоді виконавчого комітету Броварської міської ради Броварського району Київської області та відбір 20-30 найкращих із них, заступником голови комісії, секретарем та працівниками сектору роботи з молоддю. </w:t>
      </w:r>
    </w:p>
    <w:p>
      <w:pPr>
        <w:widowControl/>
        <w:bidi w:val="0"/>
        <w:spacing w:line="276" w:lineRule="auto"/>
        <w:ind w:left="0" w:right="0" w:firstLine="708"/>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2 етап – безпосередній розгляд пакету документів кожної кандидатури студента, що увійшов до 20-30ки.</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4.7.</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Комісія, відповідно до покладених на неї завдань:</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-розглядає документи претендентів на здобуття Премії;</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-проводить відбір кандидатур на здобуття Премії;</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-один раз на рік (поточний) готує обґрунтовані пропозиції на розгляд виконавчого комітету Броварської міської ради Броварського району Київської області щодо кандидатів на здобуття Премії.</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Основною формою роботи Комісії є засідання, які проводяться за потреби, але не рідше, ніж один раз на рік.</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Засідання Комісії веде її голова або, за її дорученням, заступник голови Комісії.</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Засідання Комісії є правомочним, якщо на ньому присутні не менше як дві третини його складу.</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4.8.</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Організаційне забезпечення роботи Комісії здійснює відділ сім’ї та молоді виконавчого комітету Броварської міської ради Броварського району ради Київської області.</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4.9.</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Відбір кандидатур відбувається шляхом отримання відповідей на надіслані відділом сім’ї та молоді запити до адміністрацій вищих начальних закладів міста Києва, та подальшим поданням Відділом до Комісії наступних документів, які надсилають студенти на електронну пошту Відділу (vsm_bmr@ukr.net):</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Рекомендаційний лист/</w:t>
      </w:r>
      <w:bookmarkStart w:id="2" w:name="_Hlk119492567"/>
      <w:r>
        <w:rPr>
          <w:rFonts w:ascii="Times New Roman" w:hAnsi="Times New Roman"/>
          <w:b w:val="0"/>
          <w:bCs w:val="0"/>
          <w:i w:val="0"/>
          <w:caps w:val="0"/>
          <w:strike w:val="0"/>
          <w:noProof w:val="0"/>
          <w:vanish w:val="0"/>
          <w:color w:val="auto"/>
          <w:sz w:val="28"/>
          <w:u w:val="none"/>
          <w:shd w:val="clear" w:color="auto" w:fill="auto"/>
          <w:vertAlign w:val="baseline"/>
          <w:lang w:val="x-none"/>
        </w:rPr>
        <w:t>Характеристика</w:t>
      </w:r>
      <w:bookmarkEnd w:id="2"/>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w:t>
      </w:r>
      <w:bookmarkStart w:id="3" w:name="_Hlk119492625"/>
      <w:r>
        <w:rPr>
          <w:rFonts w:ascii="Times New Roman" w:hAnsi="Times New Roman"/>
          <w:b w:val="0"/>
          <w:bCs w:val="0"/>
          <w:i w:val="0"/>
          <w:caps w:val="0"/>
          <w:strike w:val="0"/>
          <w:noProof w:val="0"/>
          <w:vanish w:val="0"/>
          <w:color w:val="auto"/>
          <w:sz w:val="28"/>
          <w:u w:val="none"/>
          <w:shd w:val="clear" w:color="auto" w:fill="auto"/>
          <w:vertAlign w:val="baseline"/>
          <w:lang w:val="x-none"/>
        </w:rPr>
        <w:t>(завірена мокрою печаткою і підписом декана/ректора, скан-копія чи оригінал)</w:t>
      </w:r>
      <w:bookmarkEnd w:id="3"/>
      <w:r>
        <w:rPr>
          <w:rFonts w:ascii="Times New Roman" w:hAnsi="Times New Roman"/>
          <w:b w:val="0"/>
          <w:bCs w:val="0"/>
          <w:i w:val="0"/>
          <w:caps w:val="0"/>
          <w:strike w:val="0"/>
          <w:noProof w:val="0"/>
          <w:vanish w:val="0"/>
          <w:color w:val="auto"/>
          <w:sz w:val="28"/>
          <w:u w:val="none"/>
          <w:shd w:val="clear" w:color="auto" w:fill="auto"/>
          <w:vertAlign w:val="baseline"/>
          <w:lang w:val="x-none"/>
        </w:rPr>
        <w:t>;</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Анкета – заявка учасника в 1-му екземплярі.</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Копії дипломів, грамот та інших відзнак про перемогу в конкурсах,  фестивалях, олімпіадах за 2021-2022 навчальний рік.</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Копія паспорту </w:t>
      </w:r>
      <w:bookmarkStart w:id="4" w:name="_Hlk119492505"/>
      <w:r>
        <w:rPr>
          <w:rFonts w:ascii="Times New Roman" w:hAnsi="Times New Roman"/>
          <w:b w:val="0"/>
          <w:bCs w:val="0"/>
          <w:i w:val="0"/>
          <w:caps w:val="0"/>
          <w:strike w:val="0"/>
          <w:noProof w:val="0"/>
          <w:vanish w:val="0"/>
          <w:color w:val="auto"/>
          <w:sz w:val="28"/>
          <w:u w:val="none"/>
          <w:shd w:val="clear" w:color="auto" w:fill="auto"/>
          <w:vertAlign w:val="baseline"/>
          <w:lang w:val="x-none"/>
        </w:rPr>
        <w:t>(1,2 сторінка, реєстрація; якщо паспорт у вигляді ID-картки, то до її копії додається копія довідки про реєстрацію)</w:t>
      </w:r>
      <w:bookmarkEnd w:id="4"/>
      <w:r>
        <w:rPr>
          <w:rFonts w:ascii="Times New Roman" w:hAnsi="Times New Roman"/>
          <w:b w:val="0"/>
          <w:bCs w:val="0"/>
          <w:i w:val="0"/>
          <w:caps w:val="0"/>
          <w:strike w:val="0"/>
          <w:noProof w:val="0"/>
          <w:vanish w:val="0"/>
          <w:color w:val="auto"/>
          <w:sz w:val="28"/>
          <w:u w:val="none"/>
          <w:shd w:val="clear" w:color="auto" w:fill="auto"/>
          <w:vertAlign w:val="baseline"/>
          <w:lang w:val="x-none"/>
        </w:rPr>
        <w:t>,</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Копія </w:t>
      </w:r>
      <w:bookmarkStart w:id="5" w:name="_Hlk119492522"/>
      <w:r>
        <w:rPr>
          <w:rFonts w:ascii="Times New Roman" w:hAnsi="Times New Roman"/>
          <w:b w:val="0"/>
          <w:bCs w:val="0"/>
          <w:i w:val="0"/>
          <w:caps w:val="0"/>
          <w:strike w:val="0"/>
          <w:noProof w:val="0"/>
          <w:vanish w:val="0"/>
          <w:color w:val="auto"/>
          <w:sz w:val="28"/>
          <w:u w:val="none"/>
          <w:shd w:val="clear" w:color="auto" w:fill="auto"/>
          <w:vertAlign w:val="baseline"/>
          <w:lang w:val="x-none"/>
        </w:rPr>
        <w:t>ІПН (якщо паспорт у вигляді ID-картки, то копія ІПН – необов’язкова)</w:t>
      </w:r>
      <w:bookmarkEnd w:id="5"/>
      <w:r>
        <w:rPr>
          <w:rFonts w:ascii="Times New Roman" w:hAnsi="Times New Roman"/>
          <w:b w:val="0"/>
          <w:bCs w:val="0"/>
          <w:i w:val="0"/>
          <w:caps w:val="0"/>
          <w:strike w:val="0"/>
          <w:noProof w:val="0"/>
          <w:vanish w:val="0"/>
          <w:color w:val="auto"/>
          <w:sz w:val="28"/>
          <w:u w:val="none"/>
          <w:shd w:val="clear" w:color="auto" w:fill="auto"/>
          <w:vertAlign w:val="baseline"/>
          <w:lang w:val="x-none"/>
        </w:rPr>
        <w:t>.</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Згода на обробку персональних даних.</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4.10.</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Виконавчий комітет Броварської міської ради Броварського району Київської області на підставі поданих Комісією документів приймає рішення про призначення Премій, яке є підставою для цільового спрямування коштів.</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4.11.</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Видатки на виплату Премій здійснюються в межах кошторису, затвердженого для відділу сім’ї та молоді виконавчого комітету Броварської міської ради Броварського району Київської області на реалізацію Програми підтримки молодих сімей та розвитку молоді «Молодь в дії» на 2022-2026 роки.</w:t>
      </w:r>
    </w:p>
    <w:p>
      <w:pPr>
        <w:widowControl/>
        <w:bidi w:val="0"/>
        <w:spacing w:line="276" w:lineRule="auto"/>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bCs w:val="0"/>
          <w:i w:val="0"/>
          <w:caps w:val="0"/>
          <w:strike w:val="0"/>
          <w:noProof w:val="0"/>
          <w:vanish w:val="0"/>
          <w:color w:val="auto"/>
          <w:sz w:val="28"/>
          <w:u w:val="none"/>
          <w:shd w:val="clear" w:color="auto" w:fill="auto"/>
          <w:vertAlign w:val="baseline"/>
          <w:lang w:val="x-none"/>
        </w:rPr>
        <w:t>4.12.</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Премії студентам виплачуються на особистий рахунок, відкритий в установі банку.</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РОЗДІЛ 5.</w:t>
      </w:r>
    </w:p>
    <w:p>
      <w:pPr>
        <w:widowControl/>
        <w:bidi w:val="0"/>
        <w:ind w:left="0" w:right="0"/>
        <w:jc w:val="both"/>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5.1. Загальний обсяг фінансування заходу: 30000,00  грн.</w:t>
      </w:r>
    </w:p>
    <w:p>
      <w:pPr>
        <w:widowControl/>
        <w:bidi w:val="0"/>
        <w:ind w:left="0" w:right="0"/>
        <w:jc w:val="both"/>
        <w:rPr>
          <w:rFonts w:ascii="Times New Roman" w:hAnsi="Times New Roman"/>
          <w:b/>
          <w:sz w:val="28"/>
          <w:szCs w:val="28"/>
        </w:rPr>
      </w:pPr>
      <w:r>
        <w:rPr>
          <w:rFonts w:ascii="Times New Roman" w:hAnsi="Times New Roman"/>
          <w:b w:val="0"/>
          <w:bCs w:val="0"/>
          <w:i w:val="0"/>
          <w:caps w:val="0"/>
          <w:strike w:val="0"/>
          <w:noProof w:val="0"/>
          <w:vanish w:val="0"/>
          <w:color w:val="auto"/>
          <w:sz w:val="28"/>
          <w:u w:val="none"/>
          <w:shd w:val="clear" w:color="auto" w:fill="auto"/>
          <w:vertAlign w:val="baseline"/>
          <w:lang w:val="x-none"/>
        </w:rPr>
        <w:t>5.2. Розрахунок витрат на проведення заходу:</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top w:w="0" w:type="dxa"/>
          <w:left w:w="108" w:type="dxa"/>
          <w:bottom w:w="0" w:type="dxa"/>
          <w:right w:w="108" w:type="dxa"/>
        </w:tblCellMar>
        <w:tblLook w:val="04A0"/>
      </w:tblPr>
      <w:tblGrid>
        <w:gridCol w:w="784"/>
        <w:gridCol w:w="3306"/>
        <w:gridCol w:w="1580"/>
        <w:gridCol w:w="1766"/>
        <w:gridCol w:w="2203"/>
      </w:tblGrid>
      <w:tr>
        <w:tblPrEx>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top w:w="0" w:type="dxa"/>
            <w:left w:w="108" w:type="dxa"/>
            <w:bottom w:w="0" w:type="dxa"/>
            <w:right w:w="108" w:type="dxa"/>
          </w:tblCellMar>
          <w:tblLook w:val="04A0"/>
        </w:tblPrEx>
        <w:trPr>
          <w:trHeight w:val="660"/>
          <w:tblCellSpacing w:w="0" w:type="dxa"/>
        </w:trPr>
        <w:tc>
          <w:tcPr>
            <w:tcW w:w="784"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w:t>
            </w:r>
          </w:p>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п/п</w:t>
            </w:r>
          </w:p>
        </w:tc>
        <w:tc>
          <w:tcPr>
            <w:tcW w:w="3306"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Статті витрат</w:t>
            </w:r>
          </w:p>
        </w:tc>
        <w:tc>
          <w:tcPr>
            <w:tcW w:w="1580"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left"/>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Кількість</w:t>
            </w:r>
          </w:p>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w:t>
            </w:r>
          </w:p>
        </w:tc>
        <w:tc>
          <w:tcPr>
            <w:tcW w:w="1766"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Ціна за одиницю (грн.)</w:t>
            </w:r>
          </w:p>
        </w:tc>
        <w:tc>
          <w:tcPr>
            <w:tcW w:w="2203"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Загальна сума (грн.)</w:t>
            </w:r>
          </w:p>
        </w:tc>
      </w:tr>
      <w:tr>
        <w:tblPrEx>
          <w:tblW w:w="0" w:type="auto"/>
          <w:tblCellSpacing w:w="0" w:type="dxa"/>
          <w:tblInd w:w="118" w:type="dxa"/>
          <w:shd w:val="clear" w:color="auto" w:fill="FFFFFF"/>
          <w:tblLayout w:type="fixed"/>
          <w:tblCellMar>
            <w:top w:w="0" w:type="dxa"/>
            <w:left w:w="108" w:type="dxa"/>
            <w:bottom w:w="0" w:type="dxa"/>
            <w:right w:w="108" w:type="dxa"/>
          </w:tblCellMar>
          <w:tblLook w:val="04A0"/>
        </w:tblPrEx>
        <w:trPr>
          <w:trHeight w:val="1455"/>
          <w:tblCellSpacing w:w="0" w:type="dxa"/>
        </w:trPr>
        <w:tc>
          <w:tcPr>
            <w:tcW w:w="784"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left"/>
              <w:rPr>
                <w:rFonts w:ascii="Times New Roman" w:hAnsi="Times New Roman"/>
                <w:b w:val="0"/>
                <w:bCs w:val="0"/>
                <w:i w:val="0"/>
                <w:caps w:val="0"/>
                <w:strike w:val="0"/>
                <w:noProof w:val="0"/>
                <w:vanish w:val="0"/>
                <w:color w:val="000000"/>
                <w:sz w:val="28"/>
                <w:u w:val="none"/>
                <w:shd w:val="clear" w:color="auto" w:fill="auto"/>
                <w:vertAlign w:val="baseline"/>
                <w:lang w:val="x-none"/>
              </w:rPr>
            </w:pPr>
            <w:r>
              <w:rPr>
                <w:rFonts w:ascii="Times New Roman" w:hAnsi="Times New Roman"/>
                <w:b w:val="0"/>
                <w:bCs w:val="0"/>
                <w:i w:val="0"/>
                <w:caps w:val="0"/>
                <w:strike w:val="0"/>
                <w:noProof w:val="0"/>
                <w:vanish w:val="0"/>
                <w:color w:val="000000"/>
                <w:sz w:val="28"/>
                <w:u w:val="none"/>
                <w:shd w:val="clear" w:color="auto" w:fill="auto"/>
                <w:vertAlign w:val="baseline"/>
                <w:lang w:val="x-none"/>
              </w:rPr>
              <w:t>1.</w:t>
            </w:r>
          </w:p>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w:t>
            </w:r>
          </w:p>
        </w:tc>
        <w:tc>
          <w:tcPr>
            <w:tcW w:w="3306"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left"/>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Студентські премії кращим студентам міста Бровари, сіл Княжичі</w:t>
            </w:r>
            <w:r>
              <w:rPr>
                <w:rFonts w:ascii="Times New Roman" w:hAnsi="Times New Roman"/>
                <w:b w:val="0"/>
                <w:bCs w:val="0"/>
                <w:i w:val="0"/>
                <w:caps w:val="0"/>
                <w:strike w:val="0"/>
                <w:noProof w:val="0"/>
                <w:vanish w:val="0"/>
                <w:color w:val="000000"/>
                <w:sz w:val="28"/>
                <w:u w:val="none"/>
                <w:shd w:val="clear" w:color="auto" w:fill="auto"/>
                <w:vertAlign w:val="baseline"/>
                <w:lang w:val="x-none"/>
              </w:rPr>
              <w:t>,</w:t>
            </w:r>
            <w:r>
              <w:rPr>
                <w:rFonts w:ascii="Times New Roman" w:hAnsi="Times New Roman"/>
                <w:b w:val="0"/>
                <w:bCs w:val="0"/>
                <w:i w:val="0"/>
                <w:caps w:val="0"/>
                <w:strike w:val="0"/>
                <w:noProof w:val="0"/>
                <w:vanish w:val="0"/>
                <w:color w:val="auto"/>
                <w:sz w:val="28"/>
                <w:u w:val="none"/>
                <w:shd w:val="clear" w:color="auto" w:fill="auto"/>
                <w:vertAlign w:val="baseline"/>
                <w:lang w:val="x-none"/>
              </w:rPr>
              <w:t xml:space="preserve"> Требухів та Переможець, відповідно до положення</w:t>
            </w:r>
          </w:p>
        </w:tc>
        <w:tc>
          <w:tcPr>
            <w:tcW w:w="1580"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center"/>
              <w:rPr>
                <w:rFonts w:ascii="Times New Roman" w:hAnsi="Times New Roman"/>
                <w:b w:val="0"/>
                <w:bCs w:val="0"/>
                <w:i w:val="0"/>
                <w:caps w:val="0"/>
                <w:strike w:val="0"/>
                <w:noProof w:val="0"/>
                <w:vanish w:val="0"/>
                <w:color w:val="000000"/>
                <w:sz w:val="28"/>
                <w:u w:val="none"/>
                <w:shd w:val="clear" w:color="auto" w:fill="auto"/>
                <w:vertAlign w:val="baseline"/>
                <w:lang w:val="x-none"/>
              </w:rPr>
            </w:pPr>
            <w:r>
              <w:rPr>
                <w:rFonts w:ascii="Times New Roman" w:hAnsi="Times New Roman"/>
                <w:b w:val="0"/>
                <w:bCs w:val="0"/>
                <w:i w:val="0"/>
                <w:caps w:val="0"/>
                <w:strike w:val="0"/>
                <w:noProof w:val="0"/>
                <w:vanish w:val="0"/>
                <w:color w:val="000000"/>
                <w:sz w:val="28"/>
                <w:u w:val="none"/>
                <w:shd w:val="clear" w:color="auto" w:fill="auto"/>
                <w:vertAlign w:val="baseline"/>
                <w:lang w:val="x-none"/>
              </w:rPr>
              <w:t> 5</w:t>
            </w:r>
          </w:p>
        </w:tc>
        <w:tc>
          <w:tcPr>
            <w:tcW w:w="1766"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000000"/>
                <w:sz w:val="28"/>
                <w:u w:val="none"/>
                <w:shd w:val="clear" w:color="auto" w:fill="auto"/>
                <w:vertAlign w:val="baseline"/>
                <w:lang w:val="x-none"/>
              </w:rPr>
              <w:t xml:space="preserve">6000,00 </w:t>
            </w:r>
            <w:r>
              <w:rPr>
                <w:rFonts w:ascii="Times New Roman" w:hAnsi="Times New Roman"/>
                <w:b w:val="0"/>
                <w:bCs w:val="0"/>
                <w:i w:val="0"/>
                <w:caps w:val="0"/>
                <w:strike w:val="0"/>
                <w:noProof w:val="0"/>
                <w:vanish w:val="0"/>
                <w:color w:val="auto"/>
                <w:sz w:val="28"/>
                <w:u w:val="none"/>
                <w:shd w:val="clear" w:color="auto" w:fill="auto"/>
                <w:vertAlign w:val="baseline"/>
                <w:lang w:val="x-none"/>
              </w:rPr>
              <w:t>(з урахуванням податку)</w:t>
            </w:r>
          </w:p>
        </w:tc>
        <w:tc>
          <w:tcPr>
            <w:tcW w:w="2203"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center"/>
              <w:rPr>
                <w:rFonts w:ascii="Times New Roman" w:hAnsi="Times New Roman"/>
                <w:b w:val="0"/>
                <w:bCs w:val="0"/>
                <w:i w:val="0"/>
                <w:caps w:val="0"/>
                <w:strike w:val="0"/>
                <w:noProof w:val="0"/>
                <w:vanish w:val="0"/>
                <w:color w:val="000000"/>
                <w:sz w:val="28"/>
                <w:u w:val="none"/>
                <w:shd w:val="clear" w:color="auto" w:fill="auto"/>
                <w:vertAlign w:val="baseline"/>
                <w:lang w:val="x-none"/>
              </w:rPr>
            </w:pPr>
            <w:r>
              <w:rPr>
                <w:rFonts w:ascii="Times New Roman" w:hAnsi="Times New Roman"/>
                <w:b w:val="0"/>
                <w:bCs w:val="0"/>
                <w:i w:val="0"/>
                <w:caps w:val="0"/>
                <w:strike w:val="0"/>
                <w:noProof w:val="0"/>
                <w:vanish w:val="0"/>
                <w:color w:val="000000"/>
                <w:sz w:val="28"/>
                <w:u w:val="none"/>
                <w:shd w:val="clear" w:color="auto" w:fill="auto"/>
                <w:vertAlign w:val="baseline"/>
                <w:lang w:val="x-none"/>
              </w:rPr>
              <w:t>60000,00</w:t>
            </w:r>
          </w:p>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(з урахуванням податку)</w:t>
            </w:r>
          </w:p>
        </w:tc>
      </w:tr>
      <w:tr>
        <w:tblPrEx>
          <w:tblW w:w="0" w:type="auto"/>
          <w:tblCellSpacing w:w="0" w:type="dxa"/>
          <w:tblInd w:w="118" w:type="dxa"/>
          <w:shd w:val="clear" w:color="auto" w:fill="FFFFFF"/>
          <w:tblLayout w:type="fixed"/>
          <w:tblCellMar>
            <w:top w:w="0" w:type="dxa"/>
            <w:left w:w="108" w:type="dxa"/>
            <w:bottom w:w="0" w:type="dxa"/>
            <w:right w:w="108" w:type="dxa"/>
          </w:tblCellMar>
          <w:tblLook w:val="04A0"/>
        </w:tblPrEx>
        <w:trPr>
          <w:trHeight w:val="330"/>
          <w:tblCellSpacing w:w="0" w:type="dxa"/>
        </w:trPr>
        <w:tc>
          <w:tcPr>
            <w:tcW w:w="4090" w:type="dxa"/>
            <w:gridSpan w:val="2"/>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Всього:</w:t>
            </w:r>
          </w:p>
        </w:tc>
        <w:tc>
          <w:tcPr>
            <w:tcW w:w="1580"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w:t>
            </w:r>
          </w:p>
        </w:tc>
        <w:tc>
          <w:tcPr>
            <w:tcW w:w="1766"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 30000,00</w:t>
            </w:r>
          </w:p>
        </w:tc>
        <w:tc>
          <w:tcPr>
            <w:tcW w:w="2203" w:type="dxa"/>
            <w:tcBorders>
              <w:top w:val="single" w:sz="4" w:space="0" w:color="000000"/>
              <w:left w:val="single" w:sz="4" w:space="0" w:color="000000"/>
              <w:bottom w:val="single" w:sz="4" w:space="0" w:color="000000"/>
              <w:right w:val="single" w:sz="4" w:space="0" w:color="000000"/>
            </w:tcBorders>
            <w:vAlign w:val="center"/>
            <w:hideMark/>
          </w:tcPr>
          <w:p>
            <w:pPr>
              <w:widowControl/>
              <w:bidi w:val="0"/>
              <w:ind w:left="0" w:right="0"/>
              <w:jc w:val="center"/>
              <w:rPr>
                <w:rFonts w:ascii="Times New Roman" w:hAnsi="Times New Roman"/>
                <w:b w:val="0"/>
                <w:bCs w:val="0"/>
                <w:i w:val="0"/>
                <w:caps w:val="0"/>
                <w:strike w:val="0"/>
                <w:noProof w:val="0"/>
                <w:vanish w:val="0"/>
                <w:color w:val="auto"/>
                <w:sz w:val="28"/>
                <w:u w:val="none"/>
                <w:shd w:val="clear" w:color="auto" w:fill="auto"/>
                <w:vertAlign w:val="baseline"/>
                <w:lang w:val="x-none"/>
              </w:rPr>
            </w:pPr>
            <w:r>
              <w:rPr>
                <w:rFonts w:ascii="Times New Roman" w:hAnsi="Times New Roman"/>
                <w:b w:val="0"/>
                <w:bCs w:val="0"/>
                <w:i w:val="0"/>
                <w:caps w:val="0"/>
                <w:strike w:val="0"/>
                <w:noProof w:val="0"/>
                <w:vanish w:val="0"/>
                <w:color w:val="auto"/>
                <w:sz w:val="28"/>
                <w:u w:val="none"/>
                <w:shd w:val="clear" w:color="auto" w:fill="auto"/>
                <w:vertAlign w:val="baseline"/>
                <w:lang w:val="x-none"/>
              </w:rPr>
              <w:t>30000,00</w:t>
            </w:r>
          </w:p>
        </w:tc>
      </w:tr>
    </w:tbl>
    <w:p>
      <w:pPr>
        <w:spacing w:beforeAutospacing="0" w:after="0" w:afterAutospacing="0"/>
        <w:jc w:val="both"/>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rPr>
          <w:rFonts w:ascii="Times New Roman" w:hAnsi="Times New Roman"/>
          <w:b/>
          <w:sz w:val="28"/>
          <w:szCs w:val="28"/>
        </w:rPr>
      </w:pPr>
    </w:p>
    <w:p>
      <w:pPr>
        <w:spacing w:beforeAutospacing="0" w:after="0" w:afterAutospacing="0"/>
        <w:ind w:left="142"/>
        <w:jc w:val="both"/>
        <w:rPr>
          <w:rFonts w:ascii="Times New Roman" w:hAnsi="Times New Roman"/>
          <w:iCs/>
          <w:sz w:val="28"/>
          <w:szCs w:val="28"/>
        </w:rPr>
      </w:pPr>
      <w:r>
        <w:rPr>
          <w:rFonts w:ascii="Times New Roman" w:hAnsi="Times New Roman"/>
          <w:iCs/>
          <w:sz w:val="28"/>
          <w:szCs w:val="28"/>
        </w:rPr>
        <w:t xml:space="preserve">Міський голова                                                                         </w:t>
      </w:r>
      <w:r>
        <w:rPr>
          <w:rFonts w:ascii="Times New Roman" w:hAnsi="Times New Roman"/>
          <w:iCs w:val="0"/>
          <w:smallCaps w:val="0"/>
          <w:snapToGrid/>
          <w:spacing w:val="0"/>
          <w:w w:val="100"/>
          <w:position w:val="0"/>
          <w:sz w:val="28"/>
          <w:szCs w:val="22"/>
          <w:cs w:val="0"/>
        </w:rPr>
        <w:t xml:space="preserve">     </w:t>
      </w:r>
      <w:r>
        <w:rPr>
          <w:rFonts w:ascii="Times New Roman" w:hAnsi="Times New Roman"/>
          <w:iCs w:val="0"/>
          <w:smallCaps w:val="0"/>
          <w:snapToGrid/>
          <w:spacing w:val="0"/>
          <w:w w:val="100"/>
          <w:position w:val="0"/>
          <w:sz w:val="28"/>
          <w:szCs w:val="22"/>
          <w:cs w:val="0"/>
        </w:rPr>
        <w:t>Ігор САПОЖКО</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6"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pPr>
        <w:spacing w:line="240" w:lineRule="auto"/>
        <w:ind w:left="495" w:hanging="495"/>
      </w:pPr>
      <w:rPr>
        <w:rFonts w:ascii="Times New Roman" w:hAnsi="Times New Roman"/>
        <w:b/>
      </w:rPr>
    </w:lvl>
    <w:lvl w:ilvl="1">
      <w:start w:val="1"/>
      <w:numFmt w:val="decimal"/>
      <w:lvlText w:val="%1.%2."/>
      <w:lvlJc w:val="left"/>
      <w:pPr>
        <w:spacing w:line="240" w:lineRule="auto"/>
        <w:ind w:left="720" w:hanging="720"/>
      </w:pPr>
      <w:rPr>
        <w:rFonts w:ascii="Times New Roman" w:hAnsi="Times New Roman"/>
        <w:b/>
      </w:rPr>
    </w:lvl>
    <w:lvl w:ilvl="2">
      <w:start w:val="1"/>
      <w:numFmt w:val="decimal"/>
      <w:lvlText w:val="%1.%2.%3."/>
      <w:lvlJc w:val="left"/>
      <w:pPr>
        <w:spacing w:line="240" w:lineRule="auto"/>
        <w:ind w:left="720" w:hanging="720"/>
      </w:pPr>
      <w:rPr>
        <w:rFonts w:ascii="Times New Roman" w:hAnsi="Times New Roman"/>
        <w:b/>
      </w:rPr>
    </w:lvl>
    <w:lvl w:ilvl="3">
      <w:start w:val="1"/>
      <w:numFmt w:val="decimal"/>
      <w:lvlText w:val="%1.%2.%3.%4."/>
      <w:lvlJc w:val="left"/>
      <w:pPr>
        <w:spacing w:line="240" w:lineRule="auto"/>
        <w:ind w:left="1080" w:hanging="1080"/>
      </w:pPr>
      <w:rPr>
        <w:rFonts w:ascii="Times New Roman" w:hAnsi="Times New Roman"/>
        <w:b/>
      </w:rPr>
    </w:lvl>
    <w:lvl w:ilvl="4">
      <w:start w:val="1"/>
      <w:numFmt w:val="decimal"/>
      <w:lvlText w:val="%1.%2.%3.%4.%5."/>
      <w:lvlJc w:val="left"/>
      <w:pPr>
        <w:spacing w:line="240" w:lineRule="auto"/>
        <w:ind w:left="1080" w:hanging="1080"/>
      </w:pPr>
      <w:rPr>
        <w:rFonts w:ascii="Times New Roman" w:hAnsi="Times New Roman"/>
        <w:b/>
      </w:rPr>
    </w:lvl>
    <w:lvl w:ilvl="5">
      <w:start w:val="1"/>
      <w:numFmt w:val="decimal"/>
      <w:lvlText w:val="%1.%2.%3.%4.%5.%6."/>
      <w:lvlJc w:val="left"/>
      <w:pPr>
        <w:spacing w:line="240" w:lineRule="auto"/>
        <w:ind w:left="1440" w:hanging="1440"/>
      </w:pPr>
      <w:rPr>
        <w:rFonts w:ascii="Times New Roman" w:hAnsi="Times New Roman"/>
        <w:b/>
      </w:rPr>
    </w:lvl>
    <w:lvl w:ilvl="6">
      <w:start w:val="1"/>
      <w:numFmt w:val="decimal"/>
      <w:lvlText w:val="%1.%2.%3.%4.%5.%6.%7."/>
      <w:lvlJc w:val="left"/>
      <w:pPr>
        <w:spacing w:line="240" w:lineRule="auto"/>
        <w:ind w:left="1800" w:hanging="1800"/>
      </w:pPr>
      <w:rPr>
        <w:rFonts w:ascii="Times New Roman" w:hAnsi="Times New Roman"/>
        <w:b/>
      </w:rPr>
    </w:lvl>
    <w:lvl w:ilvl="7">
      <w:start w:val="1"/>
      <w:numFmt w:val="decimal"/>
      <w:lvlText w:val="%1.%2.%3.%4.%5.%6.%7.%8."/>
      <w:lvlJc w:val="left"/>
      <w:pPr>
        <w:spacing w:line="240" w:lineRule="auto"/>
        <w:ind w:left="1800" w:hanging="1800"/>
      </w:pPr>
      <w:rPr>
        <w:rFonts w:ascii="Times New Roman" w:hAnsi="Times New Roman"/>
        <w:b/>
      </w:rPr>
    </w:lvl>
    <w:lvl w:ilvl="8">
      <w:start w:val="1"/>
      <w:numFmt w:val="decimal"/>
      <w:lvlText w:val="%1.%2.%3.%4.%5.%6.%7.%8.%9."/>
      <w:lvlJc w:val="left"/>
      <w:pPr>
        <w:spacing w:line="240" w:lineRule="auto"/>
        <w:ind w:left="2160" w:hanging="2160"/>
      </w:pPr>
      <w:rPr>
        <w:rFonts w:ascii="Times New Roman" w:hAnsi="Times New Roman"/>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customStyle="1"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27</cp:revision>
  <dcterms:created xsi:type="dcterms:W3CDTF">2021-08-31T06:42:00Z</dcterms:created>
  <dcterms:modified xsi:type="dcterms:W3CDTF">2022-12-09T09:59:39Z</dcterms:modified>
</cp:coreProperties>
</file>