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продуктів харчування, що перебувають на балансі закладу дошкільної освіти (ясел-садка) комбінованого типу «Перлинка» Броварської міської ради Броварського району Київської області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підлягають списанню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</w:rPr>
      </w:pPr>
    </w:p>
    <w:tbl>
      <w:tblPr>
        <w:tblW w:w="5005" w:type="pct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46"/>
        <w:gridCol w:w="3760"/>
        <w:gridCol w:w="1156"/>
        <w:gridCol w:w="1196"/>
        <w:gridCol w:w="1519"/>
        <w:gridCol w:w="1331"/>
      </w:tblGrid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14"/>
        </w:trPr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за одиницю,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гречана Ситий двір ядриця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44,70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23154,60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пшоно шліфоване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17,47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9049,46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3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Рис довгий Ситий двір шліфований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34,21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17720,78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88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49924,84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2022-11-16T09:47:33Z</dcterms:modified>
</cp:coreProperties>
</file>