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ПВ-170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</w:t>
      </w:r>
      <w:r>
        <w:rPr>
          <w:rFonts w:ascii="Times New Roman" w:hAnsi="Times New Roman"/>
          <w:sz w:val="28"/>
          <w:szCs w:val="28"/>
        </w:rPr>
        <w:t xml:space="preserve">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продуктів харчування, що перебувають на балансі закладу дошкільної освіти (ясел-садка) комбінованого типу «Теремки» Броварської міської ради Броварського району Київської області та підлягають списанню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5" w:type="pct"/>
        <w:tblInd w:w="0" w:type="dxa"/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46"/>
        <w:gridCol w:w="3760"/>
        <w:gridCol w:w="1156"/>
        <w:gridCol w:w="1196"/>
        <w:gridCol w:w="1519"/>
        <w:gridCol w:w="1331"/>
      </w:tblGrid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614"/>
        </w:trPr>
        <w:tc>
          <w:tcPr>
            <w:tcW w:w="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Одиниця виміру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 за одиницю,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грн.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1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Крупа гречана Ситий двір ядриця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44,70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23154,60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2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Крупа пшоно шліфоване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17,47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9049,46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3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Рис довгий Ситий двір шліфований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34,21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17720,78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88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49924,84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2022-11-16T09:37:53Z</dcterms:modified>
</cp:coreProperties>
</file>