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ПВ-170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 xml:space="preserve">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продуктів харчування, що перебувають на балансі Броварського ліцею № 11 Броварської міської ради Броварського району Київської області та підлягають списанню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5" w:type="pct"/>
        <w:tblInd w:w="0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46"/>
        <w:gridCol w:w="3764"/>
        <w:gridCol w:w="1156"/>
        <w:gridCol w:w="1196"/>
        <w:gridCol w:w="1519"/>
        <w:gridCol w:w="1327"/>
      </w:tblGrid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14"/>
        </w:trPr>
        <w:tc>
          <w:tcPr>
            <w:tcW w:w="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  <w:bookmarkStart w:id="1" w:name="_GoBack"/>
            <w:bookmarkEnd w:id="1"/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Одиниця виміру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за одиницю,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гречана Ситий двір ядриця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44,70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3933,60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2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Рис довгий Ситий двір шліфований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34,21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3010,48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3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пшоно шліфоване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17,47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1537,35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88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8481,43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2022-11-16T09:39:43Z</dcterms:modified>
</cp:coreProperties>
</file>