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продуктів харчування, що перебувають на балансі Броварського ліцею №1 Броварської міської ради Броварського району Київської області та підлягають списанню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7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30"/>
        <w:gridCol w:w="3717"/>
        <w:gridCol w:w="1157"/>
        <w:gridCol w:w="1265"/>
        <w:gridCol w:w="1550"/>
        <w:gridCol w:w="1355"/>
      </w:tblGrid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1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ть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за одиницю,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гречана Ситий двір ядриця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23154,60</w:t>
            </w:r>
          </w:p>
        </w:tc>
      </w:tr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пшоно шліфоване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9049,46</w:t>
            </w:r>
          </w:p>
        </w:tc>
      </w:tr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3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Рис довгий Ситий двір шліфований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17720,78</w:t>
            </w:r>
          </w:p>
        </w:tc>
      </w:tr>
      <w:tr>
        <w:tblPrEx>
          <w:tblW w:w="9574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54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49924,84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2022-11-16T09:40:16Z</dcterms:modified>
</cp:coreProperties>
</file>