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0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permStart w:id="0" w:edGrp="everyone"/>
      <w:permEnd w:id="0"/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ПВ-28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 рішення виконавчого комітету Броварської міської ради 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tabs>
          <w:tab w:val="left" w:pos="0"/>
          <w:tab w:val="left" w:pos="5760"/>
        </w:tabs>
        <w:jc w:val="center"/>
        <w:rPr>
          <w:rFonts w:ascii="Times New Roman" w:hAnsi="Times New Roman"/>
          <w:sz w:val="28"/>
          <w:szCs w:val="28"/>
        </w:rPr>
      </w:pPr>
      <w:permStart w:id="1" w:edGrp="everyone"/>
      <w:r>
        <w:rPr>
          <w:rFonts w:ascii="Times New Roman" w:hAnsi="Times New Roman"/>
          <w:sz w:val="28"/>
          <w:szCs w:val="28"/>
        </w:rPr>
        <w:t xml:space="preserve">Перелік договорів оренди об’єктів комунальної власності Броварської міської територіальної громади, які підлягають продовженню шляхом аукціону </w:t>
      </w:r>
    </w:p>
    <w:p>
      <w:pPr>
        <w:tabs>
          <w:tab w:val="left" w:pos="0"/>
          <w:tab w:val="left" w:pos="5760"/>
        </w:tabs>
        <w:jc w:val="center"/>
        <w:rPr>
          <w:rFonts w:ascii="Times New Roman" w:hAnsi="Times New Roman"/>
          <w:sz w:val="28"/>
          <w:szCs w:val="28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2693"/>
        <w:gridCol w:w="1134"/>
        <w:gridCol w:w="1985"/>
        <w:gridCol w:w="1701"/>
        <w:gridCol w:w="1842"/>
      </w:tblGrid>
      <w:tr>
        <w:tblPrEx>
          <w:tblW w:w="10065" w:type="dxa"/>
          <w:tblInd w:w="-3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710" w:type="dxa"/>
            <w:shd w:val="clear" w:color="auto" w:fill="auto"/>
          </w:tcPr>
          <w:p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№ з/п </w:t>
            </w:r>
          </w:p>
        </w:tc>
        <w:tc>
          <w:tcPr>
            <w:tcW w:w="2693" w:type="dxa"/>
            <w:shd w:val="clear" w:color="auto" w:fill="auto"/>
          </w:tcPr>
          <w:p>
            <w:pPr>
              <w:tabs>
                <w:tab w:val="left" w:pos="0"/>
                <w:tab w:val="left" w:pos="6300"/>
              </w:tabs>
              <w:spacing w:beforeAutospacing="0" w:afterAutospacing="0" w:line="280" w:lineRule="exact"/>
              <w:ind w:left="-57" w:right="-57"/>
              <w:jc w:val="center"/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pacing w:val="-4"/>
                <w:sz w:val="28"/>
                <w:szCs w:val="28"/>
              </w:rPr>
              <w:t xml:space="preserve">Характеристика, адреса, </w:t>
            </w:r>
            <w:r>
              <w:rPr>
                <w:rFonts w:ascii="Times New Roman" w:hAnsi="Times New Roman"/>
                <w:spacing w:val="-6"/>
                <w:sz w:val="28"/>
                <w:szCs w:val="28"/>
              </w:rPr>
              <w:t>площа</w:t>
            </w:r>
          </w:p>
          <w:p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об’єкта оренди</w:t>
            </w:r>
          </w:p>
        </w:tc>
        <w:tc>
          <w:tcPr>
            <w:tcW w:w="1134" w:type="dxa"/>
            <w:shd w:val="clear" w:color="auto" w:fill="auto"/>
          </w:tcPr>
          <w:p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Термін оренди</w:t>
            </w:r>
          </w:p>
        </w:tc>
        <w:tc>
          <w:tcPr>
            <w:tcW w:w="1985" w:type="dxa"/>
            <w:shd w:val="clear" w:color="auto" w:fill="auto"/>
          </w:tcPr>
          <w:p>
            <w:pPr>
              <w:pStyle w:val="Title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 xml:space="preserve">Орендар </w:t>
            </w:r>
          </w:p>
          <w:p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Номер  договору оренди, дата</w:t>
            </w:r>
          </w:p>
        </w:tc>
        <w:tc>
          <w:tcPr>
            <w:tcW w:w="1842" w:type="dxa"/>
            <w:shd w:val="clear" w:color="auto" w:fill="auto"/>
          </w:tcPr>
          <w:p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Цільове використання згідно договору </w:t>
            </w:r>
          </w:p>
        </w:tc>
      </w:tr>
      <w:tr>
        <w:tblPrEx>
          <w:tblW w:w="10065" w:type="dxa"/>
          <w:tblInd w:w="-318" w:type="dxa"/>
          <w:tblLayout w:type="fixed"/>
          <w:tblLook w:val="04A0"/>
        </w:tblPrEx>
        <w:tc>
          <w:tcPr>
            <w:tcW w:w="710" w:type="dxa"/>
            <w:shd w:val="clear" w:color="auto" w:fill="auto"/>
          </w:tcPr>
          <w:p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>
            <w:pPr>
              <w:tabs>
                <w:tab w:val="left" w:pos="0"/>
                <w:tab w:val="left" w:pos="6300"/>
              </w:tabs>
              <w:spacing w:beforeAutospacing="0" w:afterAutospacing="0" w:line="280" w:lineRule="exact"/>
              <w:ind w:left="-57" w:right="-57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spacing w:val="-4"/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>
            <w:pPr>
              <w:pStyle w:val="Title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>
            <w:pPr>
              <w:pStyle w:val="Title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>
            <w:pPr>
              <w:pStyle w:val="Title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5</w:t>
            </w:r>
          </w:p>
        </w:tc>
        <w:tc>
          <w:tcPr>
            <w:tcW w:w="1842" w:type="dxa"/>
            <w:shd w:val="clear" w:color="auto" w:fill="auto"/>
          </w:tcPr>
          <w:p>
            <w:pPr>
              <w:pStyle w:val="Title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6</w:t>
            </w:r>
          </w:p>
        </w:tc>
      </w:tr>
      <w:tr>
        <w:tblPrEx>
          <w:tblW w:w="10065" w:type="dxa"/>
          <w:tblInd w:w="-318" w:type="dxa"/>
          <w:tblLayout w:type="fixed"/>
          <w:tblLook w:val="04A0"/>
        </w:tblPrEx>
        <w:tc>
          <w:tcPr>
            <w:tcW w:w="710" w:type="dxa"/>
            <w:shd w:val="clear" w:color="auto" w:fill="auto"/>
          </w:tcPr>
          <w:p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1.</w:t>
            </w:r>
          </w:p>
        </w:tc>
        <w:tc>
          <w:tcPr>
            <w:tcW w:w="9355" w:type="dxa"/>
            <w:gridSpan w:val="5"/>
            <w:shd w:val="clear" w:color="auto" w:fill="auto"/>
          </w:tcPr>
          <w:p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Балансоутримувач 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/>
                <w:sz w:val="28"/>
                <w:szCs w:val="28"/>
              </w:rPr>
              <w:t>Комунальний заклад «Міський культурний центр» Броварської міської ради Броварського району Київської області</w:t>
            </w:r>
          </w:p>
        </w:tc>
      </w:tr>
      <w:tr>
        <w:tblPrEx>
          <w:tblW w:w="10065" w:type="dxa"/>
          <w:tblInd w:w="-318" w:type="dxa"/>
          <w:tblLayout w:type="fixed"/>
          <w:tblLook w:val="04A0"/>
        </w:tblPrEx>
        <w:tc>
          <w:tcPr>
            <w:tcW w:w="710" w:type="dxa"/>
            <w:shd w:val="clear" w:color="auto" w:fill="auto"/>
          </w:tcPr>
          <w:p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1.1.</w:t>
            </w:r>
          </w:p>
        </w:tc>
        <w:tc>
          <w:tcPr>
            <w:tcW w:w="2693" w:type="dxa"/>
            <w:shd w:val="clear" w:color="auto" w:fill="auto"/>
          </w:tcPr>
          <w:p>
            <w:pPr>
              <w:spacing w:beforeAutospacing="0" w:after="0" w:afterAutospacing="0"/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Частина даху та нежитлове приміщення технічного поверху міського культурного центру </w:t>
            </w:r>
          </w:p>
          <w:p>
            <w:pPr>
              <w:spacing w:beforeAutospacing="0" w:after="0" w:afterAutospacing="0"/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площею 184,2 кв.м., </w:t>
            </w:r>
          </w:p>
          <w:p>
            <w:pPr>
              <w:spacing w:beforeAutospacing="0" w:after="0" w:afterAutospacing="0"/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за адресою: </w:t>
            </w:r>
          </w:p>
          <w:p>
            <w:pPr>
              <w:spacing w:beforeAutospacing="0" w:after="0" w:afterAutospacing="0"/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>Київська область, Броварський район, місто Бровари, бульвар Незалежності, 4</w:t>
            </w:r>
          </w:p>
        </w:tc>
        <w:tc>
          <w:tcPr>
            <w:tcW w:w="1134" w:type="dxa"/>
            <w:shd w:val="clear" w:color="auto" w:fill="auto"/>
          </w:tcPr>
          <w:p>
            <w:pPr>
              <w:pStyle w:val="Title"/>
              <w:jc w:val="left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5 років</w:t>
            </w:r>
          </w:p>
        </w:tc>
        <w:tc>
          <w:tcPr>
            <w:tcW w:w="1985" w:type="dxa"/>
            <w:shd w:val="clear" w:color="auto" w:fill="auto"/>
          </w:tcPr>
          <w:p>
            <w:pPr>
              <w:rPr>
                <w:rFonts w:ascii="Times New Roman" w:hAnsi="Times New Roman"/>
                <w:spacing w:val="-8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Приватне акціонерне товариство «Київстар»</w:t>
            </w:r>
          </w:p>
        </w:tc>
        <w:tc>
          <w:tcPr>
            <w:tcW w:w="1701" w:type="dxa"/>
            <w:shd w:val="clear" w:color="auto" w:fill="auto"/>
          </w:tcPr>
          <w:p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>№217/59-19</w:t>
            </w:r>
          </w:p>
          <w:p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 xml:space="preserve"> від 01.07.2019</w:t>
            </w:r>
          </w:p>
          <w:p>
            <w:pPr>
              <w:pStyle w:val="Title"/>
              <w:jc w:val="left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 xml:space="preserve">по </w:t>
            </w:r>
          </w:p>
          <w:p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30.09.2022</w:t>
            </w:r>
          </w:p>
        </w:tc>
        <w:tc>
          <w:tcPr>
            <w:tcW w:w="1842" w:type="dxa"/>
            <w:shd w:val="clear" w:color="auto" w:fill="auto"/>
          </w:tcPr>
          <w:p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>розміщення обладнання стільниково</w:t>
            </w: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-</w:t>
            </w:r>
            <w:r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>го зв’язку базової станції</w:t>
            </w:r>
          </w:p>
        </w:tc>
      </w:tr>
      <w:tr>
        <w:tblPrEx>
          <w:tblW w:w="10065" w:type="dxa"/>
          <w:tblInd w:w="-318" w:type="dxa"/>
          <w:tblLayout w:type="fixed"/>
          <w:tblLook w:val="04A0"/>
        </w:tblPrEx>
        <w:tc>
          <w:tcPr>
            <w:tcW w:w="710" w:type="dxa"/>
            <w:shd w:val="clear" w:color="auto" w:fill="auto"/>
          </w:tcPr>
          <w:p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2.</w:t>
            </w:r>
          </w:p>
        </w:tc>
        <w:tc>
          <w:tcPr>
            <w:tcW w:w="9355" w:type="dxa"/>
            <w:gridSpan w:val="5"/>
            <w:shd w:val="clear" w:color="auto" w:fill="auto"/>
          </w:tcPr>
          <w:p>
            <w:pPr>
              <w:pStyle w:val="Title"/>
              <w:jc w:val="both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sz w:val="28"/>
                <w:szCs w:val="28"/>
              </w:rPr>
              <w:t xml:space="preserve">Балансоутримувач – </w:t>
            </w: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Комунальне підприємство Броварської міської ради Броварського району Київської області «Броваритепловодоенергія»</w:t>
            </w:r>
          </w:p>
        </w:tc>
      </w:tr>
      <w:tr>
        <w:tblPrEx>
          <w:tblW w:w="10065" w:type="dxa"/>
          <w:tblInd w:w="-318" w:type="dxa"/>
          <w:tblLayout w:type="fixed"/>
          <w:tblLook w:val="04A0"/>
        </w:tblPrEx>
        <w:tc>
          <w:tcPr>
            <w:tcW w:w="710" w:type="dxa"/>
            <w:shd w:val="clear" w:color="auto" w:fill="auto"/>
          </w:tcPr>
          <w:p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2.1.</w:t>
            </w:r>
          </w:p>
        </w:tc>
        <w:tc>
          <w:tcPr>
            <w:tcW w:w="2693" w:type="dxa"/>
            <w:shd w:val="clear" w:color="auto" w:fill="auto"/>
          </w:tcPr>
          <w:p>
            <w:pPr>
              <w:spacing w:beforeAutospacing="0" w:after="0" w:afterAutospacing="0"/>
              <w:rPr>
                <w:rFonts w:ascii="Times New Roman" w:hAnsi="Times New Roman"/>
                <w:spacing w:val="-8"/>
                <w:sz w:val="28"/>
                <w:szCs w:val="28"/>
              </w:rPr>
            </w:pPr>
            <w:r>
              <w:rPr>
                <w:rFonts w:ascii="Times New Roman" w:hAnsi="Times New Roman"/>
                <w:spacing w:val="-8"/>
                <w:sz w:val="28"/>
                <w:szCs w:val="28"/>
              </w:rPr>
              <w:t>Частина труби котельні та майданчику</w:t>
            </w:r>
          </w:p>
          <w:p>
            <w:pPr>
              <w:spacing w:beforeAutospacing="0" w:after="0" w:afterAutospacing="0"/>
              <w:rPr>
                <w:rFonts w:ascii="Times New Roman" w:hAnsi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площею 8,0 кв.м., </w:t>
            </w:r>
          </w:p>
          <w:p>
            <w:pPr>
              <w:spacing w:beforeAutospacing="0" w:after="0" w:afterAutospacing="0"/>
              <w:rPr>
                <w:rFonts w:ascii="Times New Roman" w:hAnsi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за адресою: </w:t>
            </w:r>
          </w:p>
          <w:p>
            <w:pPr>
              <w:spacing w:beforeAutospacing="0" w:after="0" w:afterAutospacing="0"/>
              <w:rPr>
                <w:rFonts w:ascii="Times New Roman" w:hAnsi="Times New Roman"/>
                <w:b/>
                <w:bCs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spacing w:val="-6"/>
                <w:sz w:val="28"/>
                <w:szCs w:val="28"/>
              </w:rPr>
              <w:t>Київська область, Броварський район, місто Бровари, вулиця Ярослава Мудрого, 3/1</w:t>
            </w:r>
          </w:p>
        </w:tc>
        <w:tc>
          <w:tcPr>
            <w:tcW w:w="1134" w:type="dxa"/>
            <w:shd w:val="clear" w:color="auto" w:fill="auto"/>
          </w:tcPr>
          <w:p>
            <w:pPr>
              <w:pStyle w:val="Title"/>
              <w:jc w:val="left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5 років</w:t>
            </w:r>
          </w:p>
        </w:tc>
        <w:tc>
          <w:tcPr>
            <w:tcW w:w="1985" w:type="dxa"/>
            <w:shd w:val="clear" w:color="auto" w:fill="auto"/>
          </w:tcPr>
          <w:p>
            <w:pPr>
              <w:rPr>
                <w:rFonts w:ascii="Times New Roman" w:hAnsi="Times New Roman"/>
                <w:spacing w:val="-8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Приватне акціонерне товариство «Київстар»</w:t>
            </w:r>
          </w:p>
        </w:tc>
        <w:tc>
          <w:tcPr>
            <w:tcW w:w="1701" w:type="dxa"/>
            <w:shd w:val="clear" w:color="auto" w:fill="auto"/>
          </w:tcPr>
          <w:p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 xml:space="preserve">№213/60-19 </w:t>
            </w:r>
          </w:p>
          <w:p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>від 01.07.2019</w:t>
            </w:r>
          </w:p>
          <w:p>
            <w:pPr>
              <w:pStyle w:val="Title"/>
              <w:jc w:val="left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 xml:space="preserve">по </w:t>
            </w:r>
          </w:p>
          <w:p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30.09.2022</w:t>
            </w:r>
          </w:p>
        </w:tc>
        <w:tc>
          <w:tcPr>
            <w:tcW w:w="1842" w:type="dxa"/>
            <w:shd w:val="clear" w:color="auto" w:fill="auto"/>
          </w:tcPr>
          <w:p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>розміщення обладнання стільниково</w:t>
            </w: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-</w:t>
            </w:r>
            <w:r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>го зв’язку базової станції</w:t>
            </w:r>
          </w:p>
        </w:tc>
      </w:tr>
      <w:tr>
        <w:tblPrEx>
          <w:tblW w:w="10065" w:type="dxa"/>
          <w:tblInd w:w="-318" w:type="dxa"/>
          <w:tblLayout w:type="fixed"/>
          <w:tblLook w:val="04A0"/>
        </w:tblPrEx>
        <w:tc>
          <w:tcPr>
            <w:tcW w:w="710" w:type="dxa"/>
            <w:shd w:val="clear" w:color="auto" w:fill="auto"/>
          </w:tcPr>
          <w:p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2.2</w:t>
            </w:r>
          </w:p>
        </w:tc>
        <w:tc>
          <w:tcPr>
            <w:tcW w:w="2693" w:type="dxa"/>
            <w:shd w:val="clear" w:color="auto" w:fill="auto"/>
          </w:tcPr>
          <w:p>
            <w:pPr>
              <w:spacing w:beforeAutospacing="0" w:after="0" w:afterAutospacing="0"/>
              <w:rPr>
                <w:rFonts w:ascii="Times New Roman" w:hAnsi="Times New Roman"/>
                <w:spacing w:val="-8"/>
                <w:sz w:val="28"/>
                <w:szCs w:val="28"/>
              </w:rPr>
            </w:pPr>
            <w:r>
              <w:rPr>
                <w:rFonts w:ascii="Times New Roman" w:hAnsi="Times New Roman"/>
                <w:spacing w:val="-8"/>
                <w:sz w:val="28"/>
                <w:szCs w:val="28"/>
              </w:rPr>
              <w:t>Частина труби котельні та майданчику</w:t>
            </w:r>
          </w:p>
          <w:p>
            <w:pPr>
              <w:spacing w:beforeAutospacing="0" w:after="0" w:afterAutospacing="0"/>
              <w:rPr>
                <w:rFonts w:ascii="Times New Roman" w:hAnsi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площею 9,0 кв.м., </w:t>
            </w:r>
          </w:p>
          <w:p>
            <w:pPr>
              <w:spacing w:beforeAutospacing="0" w:after="0" w:afterAutospacing="0"/>
              <w:rPr>
                <w:rFonts w:ascii="Times New Roman" w:hAnsi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за адресою: </w:t>
            </w:r>
          </w:p>
          <w:p>
            <w:pPr>
              <w:spacing w:beforeAutospacing="0" w:after="0" w:afterAutospacing="0"/>
              <w:rPr>
                <w:rFonts w:ascii="Times New Roman" w:hAnsi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Київська область, Броварський район, місто Бровари, </w:t>
            </w:r>
          </w:p>
          <w:p>
            <w:pPr>
              <w:spacing w:beforeAutospacing="0" w:after="0" w:afterAutospacing="0"/>
              <w:rPr>
                <w:rFonts w:ascii="Times New Roman" w:hAnsi="Times New Roman"/>
                <w:b/>
                <w:bCs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spacing w:val="-6"/>
                <w:sz w:val="28"/>
                <w:szCs w:val="28"/>
              </w:rPr>
              <w:t>вулиця Ярослава Мудрого, 96</w:t>
            </w:r>
          </w:p>
        </w:tc>
        <w:tc>
          <w:tcPr>
            <w:tcW w:w="1134" w:type="dxa"/>
            <w:shd w:val="clear" w:color="auto" w:fill="auto"/>
          </w:tcPr>
          <w:p>
            <w:pPr>
              <w:pStyle w:val="Title"/>
              <w:jc w:val="left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5 років</w:t>
            </w:r>
          </w:p>
        </w:tc>
        <w:tc>
          <w:tcPr>
            <w:tcW w:w="1985" w:type="dxa"/>
            <w:shd w:val="clear" w:color="auto" w:fill="auto"/>
          </w:tcPr>
          <w:p>
            <w:pPr>
              <w:rPr>
                <w:rFonts w:ascii="Times New Roman" w:hAnsi="Times New Roman"/>
                <w:spacing w:val="-8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Приватне акціонерне товариство «Київстар»</w:t>
            </w:r>
          </w:p>
        </w:tc>
        <w:tc>
          <w:tcPr>
            <w:tcW w:w="1701" w:type="dxa"/>
            <w:shd w:val="clear" w:color="auto" w:fill="auto"/>
          </w:tcPr>
          <w:p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 xml:space="preserve">№214/62-19 </w:t>
            </w:r>
          </w:p>
          <w:p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>від 01.07.2019</w:t>
            </w:r>
          </w:p>
          <w:p>
            <w:pPr>
              <w:pStyle w:val="Title"/>
              <w:jc w:val="left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 xml:space="preserve">по </w:t>
            </w:r>
          </w:p>
          <w:p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30.09.2022</w:t>
            </w:r>
          </w:p>
        </w:tc>
        <w:tc>
          <w:tcPr>
            <w:tcW w:w="1842" w:type="dxa"/>
            <w:shd w:val="clear" w:color="auto" w:fill="auto"/>
          </w:tcPr>
          <w:p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>розміщення обладнання стільниково</w:t>
            </w: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-</w:t>
            </w:r>
            <w:r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>го зв’язку базової станції</w:t>
            </w:r>
          </w:p>
        </w:tc>
      </w:tr>
    </w:tbl>
    <w:p>
      <w:pPr>
        <w:tabs>
          <w:tab w:val="left" w:pos="0"/>
          <w:tab w:val="left" w:pos="5760"/>
        </w:tabs>
        <w:jc w:val="both"/>
        <w:rPr>
          <w:rFonts w:ascii="Times New Roman" w:hAnsi="Times New Roman"/>
          <w:sz w:val="28"/>
          <w:szCs w:val="28"/>
        </w:rPr>
      </w:pPr>
    </w:p>
    <w:p>
      <w:pPr>
        <w:tabs>
          <w:tab w:val="left" w:pos="0"/>
          <w:tab w:val="left" w:pos="5760"/>
        </w:tabs>
        <w:jc w:val="both"/>
        <w:rPr>
          <w:rFonts w:ascii="Times New Roman" w:hAnsi="Times New Roman"/>
          <w:sz w:val="28"/>
          <w:szCs w:val="28"/>
        </w:rPr>
      </w:pPr>
    </w:p>
    <w:p>
      <w:pPr>
        <w:tabs>
          <w:tab w:val="left" w:pos="0"/>
          <w:tab w:val="left" w:pos="5760"/>
        </w:tabs>
        <w:jc w:val="both"/>
        <w:rPr>
          <w:rFonts w:ascii="Times New Roman" w:hAnsi="Times New Roman"/>
          <w:sz w:val="28"/>
          <w:szCs w:val="28"/>
        </w:rPr>
      </w:pPr>
    </w:p>
    <w:p>
      <w:pPr>
        <w:tabs>
          <w:tab w:val="left" w:pos="0"/>
          <w:tab w:val="left" w:pos="576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Міський голова                                                                             Ігор САПОЖКО</w:t>
      </w:r>
      <w:bookmarkStart w:id="2" w:name="_GoBack"/>
      <w:bookmarkEnd w:id="2"/>
    </w:p>
    <w:p>
      <w:pPr>
        <w:tabs>
          <w:tab w:val="left" w:pos="0"/>
          <w:tab w:val="left" w:pos="5760"/>
        </w:tabs>
        <w:jc w:val="center"/>
        <w:rPr>
          <w:rFonts w:ascii="Times New Roman" w:hAnsi="Times New Roman"/>
          <w:iCs/>
          <w:sz w:val="28"/>
          <w:szCs w:val="28"/>
        </w:rPr>
      </w:pPr>
      <w:permEnd w:id="1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3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3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2utzpi5pgI5apcgMo5CxETMFE6BcQFG+CVdqrLn7OCs/gg66lDPIo9G/WtKaJmrSNje4hzkCLFD&#10;SCvzMnI/zg==&#10;" w:salt="RxUdtj5kWhrZci2+aea4hQ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Title">
    <w:name w:val="Title"/>
    <w:basedOn w:val="Normal"/>
    <w:link w:val="a1"/>
    <w:qFormat/>
    <w:pPr>
      <w:spacing w:beforeAutospacing="0" w:after="0" w:afterAutospacing="0" w:line="240" w:lineRule="auto"/>
      <w:jc w:val="center"/>
    </w:pPr>
    <w:rPr>
      <w:rFonts w:ascii="Cambria" w:hAnsi="Cambria"/>
      <w:b/>
      <w:bCs/>
      <w:kern w:val="28"/>
      <w:sz w:val="32"/>
      <w:szCs w:val="32"/>
      <w:lang w:val="x-none"/>
    </w:rPr>
  </w:style>
  <w:style w:type="paragraph" w:styleId="FootnoteText">
    <w:name w:val="footnote text"/>
    <w:link w:val="FootnoteTextChar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EndnoteTextChar"/>
    <w:semiHidden/>
    <w:pPr>
      <w:spacing w:after="0" w:line="240" w:lineRule="auto"/>
    </w:pPr>
    <w:rPr>
      <w:sz w:val="20"/>
      <w:szCs w:val="20"/>
    </w:rPr>
  </w:style>
  <w:style w:type="character" w:customStyle="1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ій колонтитул Знак"/>
    <w:basedOn w:val="DefaultParagraphFont"/>
    <w:link w:val="Header"/>
  </w:style>
  <w:style w:type="character" w:customStyle="1" w:styleId="a0">
    <w:name w:val="Нижній колонтитул Знак"/>
    <w:basedOn w:val="DefaultParagraphFont"/>
    <w:link w:val="Footer"/>
  </w:style>
  <w:style w:type="character" w:customStyle="1" w:styleId="a1">
    <w:name w:val="Назва Знак"/>
    <w:basedOn w:val="DefaultParagraphFont"/>
    <w:link w:val="Title"/>
    <w:rPr>
      <w:rFonts w:ascii="Cambria" w:hAnsi="Cambria"/>
      <w:b/>
      <w:bCs/>
      <w:kern w:val="28"/>
      <w:sz w:val="32"/>
      <w:szCs w:val="32"/>
      <w:lang w:val="x-none"/>
    </w:rPr>
  </w:style>
  <w:style w:type="character" w:styleId="FootnoteReference">
    <w:name w:val="footnote reference"/>
    <w:semiHidden/>
    <w:rPr>
      <w:vertAlign w:val="superscript"/>
    </w:rPr>
  </w:style>
  <w:style w:type="character" w:customStyle="1" w:styleId="FootnoteTextChar">
    <w:name w:val="Footnote Text Char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EndnoteTextChar">
    <w:name w:val="Endnote Text Char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22</cp:revision>
  <dcterms:created xsi:type="dcterms:W3CDTF">2021-08-31T06:42:00Z</dcterms:created>
  <dcterms:modified xsi:type="dcterms:W3CDTF">2022-09-14T12:38:27Z</dcterms:modified>
</cp:coreProperties>
</file>