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ПВ-229</w:t>
      </w:r>
    </w:p>
    <w:p>
      <w:pPr>
        <w:tabs>
          <w:tab w:val="left" w:pos="5610"/>
          <w:tab w:val="left" w:pos="6358"/>
        </w:tabs>
        <w:spacing w:beforeAutospacing="0" w:after="0" w:afterAutospacing="0"/>
        <w:ind w:left="5103"/>
        <w:jc w:val="center"/>
        <w:rPr>
          <w:rFonts w:ascii="Times New Roman" w:hAnsi="Times New Roman"/>
          <w:b/>
          <w:bCs/>
          <w:sz w:val="24"/>
          <w:szCs w:val="24"/>
        </w:rPr>
      </w:pPr>
    </w:p>
    <w:p>
      <w:pPr>
        <w:spacing w:beforeAutospacing="0" w:after="0" w:afterAutospacing="0" w:line="240" w:lineRule="auto"/>
        <w:ind w:left="5852" w:firstLine="0"/>
        <w:jc w:val="center"/>
        <w:rPr>
          <w:rFonts w:ascii="Times New Roman" w:hAnsi="Times New Roman"/>
          <w:sz w:val="28"/>
        </w:rPr>
      </w:pPr>
      <w:permStart w:id="0" w:edGrp="everyone"/>
      <w:r>
        <w:rPr>
          <w:rFonts w:ascii="Times New Roman" w:hAnsi="Times New Roman"/>
          <w:sz w:val="28"/>
        </w:rPr>
        <w:t>СХВАЛЕНО</w:t>
      </w:r>
    </w:p>
    <w:p>
      <w:pPr>
        <w:spacing w:beforeAutospacing="0" w:after="0" w:afterAutospacing="0" w:line="240" w:lineRule="auto"/>
        <w:ind w:left="5852" w:firstLine="0"/>
        <w:jc w:val="center"/>
        <w:rPr>
          <w:rFonts w:ascii="Times New Roman" w:hAnsi="Times New Roman"/>
          <w:sz w:val="28"/>
        </w:rPr>
      </w:pPr>
      <w:r>
        <w:rPr>
          <w:rFonts w:ascii="Times New Roman" w:hAnsi="Times New Roman"/>
          <w:sz w:val="28"/>
        </w:rPr>
        <w:t xml:space="preserve">Pішенням виконавчого комітету Броварської міської ради Броварського району </w:t>
      </w:r>
    </w:p>
    <w:p>
      <w:pPr>
        <w:spacing w:beforeAutospacing="0" w:after="0" w:afterAutospacing="0" w:line="240" w:lineRule="auto"/>
        <w:ind w:left="5852" w:firstLine="0"/>
        <w:jc w:val="center"/>
        <w:rPr>
          <w:rFonts w:ascii="Times New Roman" w:hAnsi="Times New Roman"/>
          <w:sz w:val="28"/>
        </w:rPr>
      </w:pPr>
      <w:r>
        <w:rPr>
          <w:rFonts w:ascii="Times New Roman" w:hAnsi="Times New Roman"/>
          <w:sz w:val="28"/>
        </w:rPr>
        <w:t xml:space="preserve">Київської області </w:t>
      </w:r>
    </w:p>
    <w:p>
      <w:pPr>
        <w:spacing w:beforeAutospacing="0" w:after="0" w:afterAutospacing="0" w:line="240" w:lineRule="auto"/>
        <w:ind w:left="5852" w:firstLine="0"/>
        <w:jc w:val="center"/>
        <w:rPr>
          <w:rFonts w:ascii="Times New Roman" w:hAnsi="Times New Roman"/>
          <w:sz w:val="28"/>
        </w:rPr>
      </w:pPr>
      <w:r>
        <w:rPr>
          <w:rFonts w:ascii="Times New Roman" w:hAnsi="Times New Roman"/>
          <w:sz w:val="28"/>
        </w:rPr>
        <w:t>від ______2022 року №______</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ПРОГРАМА</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забезпечення виконання судових рішень</w:t>
      </w:r>
    </w:p>
    <w:p>
      <w:pPr>
        <w:spacing w:beforeAutospacing="0" w:after="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та виконавчих документів Броварської міської ради Київської області на 2023-2027</w:t>
      </w:r>
      <w:r>
        <w:rPr>
          <w:rFonts w:ascii="Times New Roman" w:hAnsi="Times New Roman"/>
          <w:b/>
          <w:iCs w:val="0"/>
          <w:smallCaps w:val="0"/>
          <w:snapToGrid/>
          <w:color w:val="FF0000"/>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роки</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Бровари</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2022</w:t>
      </w:r>
    </w:p>
    <w:p>
      <w:pPr>
        <w:spacing w:beforeAutospacing="0" w:afterAutospacing="0" w:line="240" w:lineRule="auto"/>
        <w:jc w:val="center"/>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p>
    <w:p>
      <w:pPr>
        <w:spacing w:beforeAutospacing="0" w:afterAutospacing="0" w:line="240" w:lineRule="auto"/>
        <w:jc w:val="center"/>
        <w:rPr>
          <w:rFonts w:ascii="Times" w:hAnsi="Times"/>
          <w:b/>
          <w:iCs w:val="0"/>
          <w:smallCaps w:val="0"/>
          <w:snapToGrid/>
          <w:color w:val="000000"/>
          <w:spacing w:val="0"/>
          <w:w w:val="100"/>
          <w:position w:val="0"/>
          <w:sz w:val="28"/>
          <w:szCs w:val="22"/>
          <w:cs w:val="0"/>
        </w:rPr>
      </w:pPr>
      <w:r>
        <w:rPr>
          <w:rFonts w:ascii="Times" w:hAnsi="Times"/>
          <w:b/>
          <w:iCs w:val="0"/>
          <w:smallCaps w:val="0"/>
          <w:snapToGrid/>
          <w:color w:val="000000"/>
          <w:spacing w:val="0"/>
          <w:w w:val="100"/>
          <w:position w:val="0"/>
          <w:sz w:val="28"/>
          <w:szCs w:val="22"/>
          <w:cs w:val="0"/>
        </w:rPr>
        <w:t>Паспорт Програми</w:t>
      </w:r>
    </w:p>
    <w:p>
      <w:pPr>
        <w:spacing w:beforeAutospacing="0" w:afterAutospacing="0" w:line="240" w:lineRule="auto"/>
        <w:ind w:left="720"/>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color w:val="000000"/>
          <w:spacing w:val="0"/>
          <w:w w:val="100"/>
          <w:position w:val="0"/>
          <w:sz w:val="28"/>
          <w:szCs w:val="22"/>
          <w:cs w:val="0"/>
        </w:rPr>
        <w:t xml:space="preserve"> </w:t>
      </w:r>
    </w:p>
    <w:tbl>
      <w:tblPr>
        <w:tblW w:w="9637" w:type="dxa"/>
        <w:tblInd w:w="-459" w:type="dxa"/>
        <w:shd w:val="clear" w:color="auto" w:fill="FFFFFF"/>
        <w:tblLook w:val="0000"/>
      </w:tblPr>
      <w:tblGrid>
        <w:gridCol w:w="3362"/>
        <w:gridCol w:w="6275"/>
      </w:tblGrid>
      <w:tr>
        <w:tblPrEx>
          <w:tblW w:w="9637" w:type="dxa"/>
          <w:tblInd w:w="-459" w:type="dxa"/>
          <w:shd w:val="clear" w:color="auto" w:fill="FFFFFF"/>
          <w:tblLook w:val="0000"/>
        </w:tblPrEx>
        <w:tc>
          <w:tcPr>
            <w:tcW w:w="3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1. Ініціатор розроблення проекту</w:t>
            </w:r>
          </w:p>
        </w:tc>
        <w:tc>
          <w:tcPr>
            <w:tcW w:w="6059" w:type="dxa"/>
            <w:tcBorders>
              <w:top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Юридичне управління виконавчого комітету Броварської   міської ради Броварського району Київської області</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2. Підстава для розробки проекту</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Конституція України, Закон України «Про місцеве   самоврядування в Україні», Закон України «Про   державну реєстрацію юридичних осіб та фізичних осіб-підприємців»,   Кодекс України з процедур банкрутства, Бюджетний кодекс України, Господарський   кодекс України, Цивільний кодекс України</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3. Розробник проекту</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Юридичне управління виконавчого комітету Броварської   міської ради Броварського району Київської області</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4. Відповідальні виконавці</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Юридичне управління виконавчого комітету Броварської   міської ради Броварського району Київської області</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5. Учасники проекту</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Юридичне управління виконавчого комітету Броварської   міської ради Броварського району Київської області</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6. Термін реалізації проекту</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 xml:space="preserve">2023 –   2027 роки </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7. Фінансування проекту</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 xml:space="preserve">Бюджет </w:t>
            </w:r>
            <w:r>
              <w:rPr>
                <w:rFonts w:ascii="Times" w:hAnsi="Times"/>
                <w:iCs w:val="0"/>
                <w:smallCaps w:val="0"/>
                <w:snapToGrid/>
                <w:color w:val="000000"/>
                <w:spacing w:val="0"/>
                <w:w w:val="100"/>
                <w:position w:val="0"/>
                <w:sz w:val="28"/>
                <w:szCs w:val="22"/>
                <w:cs w:val="0"/>
              </w:rPr>
              <w:t>Броварської міської   територіальної громади</w:t>
            </w:r>
            <w:r>
              <w:rPr>
                <w:rFonts w:ascii="Times New Roman" w:hAnsi="Times New Roman"/>
                <w:iCs w:val="0"/>
                <w:smallCaps w:val="0"/>
                <w:snapToGrid/>
                <w:spacing w:val="0"/>
                <w:w w:val="100"/>
                <w:position w:val="0"/>
                <w:sz w:val="28"/>
                <w:szCs w:val="22"/>
                <w:cs w:val="0"/>
              </w:rPr>
              <w:t xml:space="preserve">   </w:t>
            </w:r>
            <w:r>
              <w:rPr>
                <w:rFonts w:ascii="Times" w:hAnsi="Times"/>
                <w:iCs w:val="0"/>
                <w:smallCaps w:val="0"/>
                <w:snapToGrid/>
                <w:spacing w:val="0"/>
                <w:w w:val="100"/>
                <w:position w:val="0"/>
                <w:sz w:val="28"/>
                <w:szCs w:val="22"/>
                <w:cs w:val="0"/>
              </w:rPr>
              <w:t xml:space="preserve"> </w:t>
            </w:r>
          </w:p>
        </w:tc>
      </w:tr>
      <w:tr>
        <w:tblPrEx>
          <w:tblW w:w="9637" w:type="dxa"/>
          <w:tblInd w:w="-459" w:type="dxa"/>
          <w:shd w:val="clear" w:color="auto" w:fill="FFFFFF"/>
          <w:tblLook w:val="0000"/>
        </w:tblPrEx>
        <w:tc>
          <w:tcPr>
            <w:tcW w:w="3578"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b/>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8. . Обсяги   фінансування</w:t>
            </w:r>
            <w:r>
              <w:rPr>
                <w:rFonts w:ascii="Times" w:hAnsi="Times"/>
                <w:b/>
                <w:iCs w:val="0"/>
                <w:smallCaps w:val="0"/>
                <w:snapToGrid/>
                <w:spacing w:val="0"/>
                <w:w w:val="100"/>
                <w:position w:val="0"/>
                <w:sz w:val="28"/>
                <w:szCs w:val="22"/>
                <w:cs w:val="0"/>
              </w:rPr>
              <w:t xml:space="preserve"> </w:t>
            </w:r>
          </w:p>
        </w:tc>
        <w:tc>
          <w:tcPr>
            <w:tcW w:w="6059"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rPr>
                <w:rFonts w:ascii="Times" w:hAnsi="Times"/>
                <w:iCs w:val="0"/>
                <w:smallCaps w:val="0"/>
                <w:snapToGrid/>
                <w:spacing w:val="0"/>
                <w:w w:val="100"/>
                <w:position w:val="0"/>
                <w:sz w:val="28"/>
                <w:szCs w:val="22"/>
                <w:cs w:val="0"/>
              </w:rPr>
            </w:pPr>
            <w:r>
              <w:rPr>
                <w:rFonts w:ascii="Times" w:hAnsi="Times"/>
                <w:iCs w:val="0"/>
                <w:smallCaps w:val="0"/>
                <w:snapToGrid/>
                <w:spacing w:val="0"/>
                <w:w w:val="100"/>
                <w:position w:val="0"/>
                <w:sz w:val="28"/>
                <w:szCs w:val="22"/>
                <w:cs w:val="0"/>
              </w:rPr>
              <w:t>4 658 886,72 грн.</w:t>
            </w:r>
          </w:p>
        </w:tc>
      </w:tr>
    </w:tbl>
    <w:p>
      <w:pPr>
        <w:spacing w:beforeAutospacing="0" w:afterAutospacing="0" w:line="240" w:lineRule="auto"/>
        <w:jc w:val="center"/>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 xml:space="preserve"> </w:t>
      </w:r>
    </w:p>
    <w:p>
      <w:pPr>
        <w:spacing w:beforeAutospacing="0" w:afterAutospacing="0" w:line="240" w:lineRule="auto"/>
        <w:jc w:val="center"/>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 xml:space="preserve"> </w:t>
      </w:r>
    </w:p>
    <w:p>
      <w:pPr>
        <w:spacing w:beforeAutospacing="0" w:afterAutospacing="0" w:line="240" w:lineRule="auto"/>
        <w:jc w:val="center"/>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 xml:space="preserve"> </w:t>
      </w:r>
    </w:p>
    <w:p>
      <w:pPr>
        <w:spacing w:beforeAutospacing="0" w:afterAutospacing="0" w:line="240" w:lineRule="auto"/>
        <w:jc w:val="center"/>
        <w:rPr>
          <w:rFonts w:ascii="Times New Roman" w:hAnsi="Times New Roman"/>
          <w:iCs w:val="0"/>
          <w:smallCaps w:val="0"/>
          <w:snapToGrid/>
          <w:color w:val="000000"/>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color w:val="000000"/>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iCs w:val="0"/>
          <w:smallCaps w:val="0"/>
          <w:snapToGrid/>
          <w:spacing w:val="0"/>
          <w:w w:val="100"/>
          <w:position w:val="0"/>
          <w:sz w:val="28"/>
          <w:szCs w:val="22"/>
          <w:cs w:val="0"/>
        </w:rPr>
      </w:pP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1. Загальні положення</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1.1. Програма забезпечення виконання судових рішень та виконавчих документів Броварської міської ради Броварського району Київської області на 2023-2027 роки (далі – Програма) розроблена з метою своєчасного виконання судових рішень та виконавчих документів, які отримуються Броварською міською радою Броварського району Київської області в процесі виконання нею своїх повноважень.</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1.2. Правовою основою Програми є Конституція України, Бюджетний кодекс України, Закони України «Про місцеве самоврядування в Україні», «Про гарантії держави щодо виконання судових рішень», «Про виконавче провадження», Постанова Кабінету Міністрів України «Про затвердження Порядку виконання рішень про стягнення коштів державного та місцевого бюджетів або боржників», інші законодавчі та нормативні акти.</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1.3. Джерела фінансування: бюджет </w:t>
      </w:r>
      <w:r>
        <w:rPr>
          <w:rFonts w:ascii="Times New Roman" w:hAnsi="Times New Roman"/>
          <w:iCs w:val="0"/>
          <w:smallCaps w:val="0"/>
          <w:snapToGrid/>
          <w:color w:val="000000"/>
          <w:spacing w:val="0"/>
          <w:w w:val="100"/>
          <w:position w:val="0"/>
          <w:sz w:val="28"/>
          <w:szCs w:val="22"/>
          <w:cs w:val="0"/>
        </w:rPr>
        <w:t>Броварської міської територіальної громади</w:t>
      </w:r>
      <w:r>
        <w:rPr>
          <w:rFonts w:ascii="Times New Roman" w:hAnsi="Times New Roman"/>
          <w:iCs w:val="0"/>
          <w:smallCaps w:val="0"/>
          <w:snapToGrid/>
          <w:spacing w:val="0"/>
          <w:w w:val="100"/>
          <w:position w:val="0"/>
          <w:sz w:val="28"/>
          <w:szCs w:val="22"/>
          <w:cs w:val="0"/>
        </w:rPr>
        <w:t>.</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1.4. Обсяги фінансування: розмір коштів визначено в Додатку до Програми.</w:t>
      </w:r>
    </w:p>
    <w:p>
      <w:pPr>
        <w:spacing w:beforeAutospacing="0" w:afterAutospacing="0" w:line="240" w:lineRule="auto"/>
        <w:jc w:val="center"/>
        <w:rPr>
          <w:rFonts w:ascii="Times New Roman" w:hAnsi="Times New Roman"/>
          <w:b/>
          <w:iCs w:val="0"/>
          <w:smallCaps w:val="0"/>
          <w:snapToGrid/>
          <w:color w:val="000000"/>
          <w:spacing w:val="0"/>
          <w:w w:val="100"/>
          <w:position w:val="0"/>
          <w:sz w:val="28"/>
          <w:szCs w:val="22"/>
          <w:shd w:val="clear" w:color="auto" w:fill="FFFFFF"/>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color w:val="000000"/>
          <w:spacing w:val="0"/>
          <w:w w:val="100"/>
          <w:position w:val="0"/>
          <w:sz w:val="28"/>
          <w:szCs w:val="22"/>
          <w:shd w:val="clear" w:color="auto" w:fill="FFFFFF"/>
          <w:cs w:val="0"/>
        </w:rPr>
        <w:t>2. Мета програми</w:t>
      </w:r>
    </w:p>
    <w:p>
      <w:pPr>
        <w:spacing w:beforeAutospacing="0" w:afterAutospacing="0" w:line="240" w:lineRule="auto"/>
        <w:ind w:left="9" w:firstLine="0"/>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2.1. Головною метою Програми є забезпечення своєчасного виконання  судових рішень та виконавчих документів.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3. Обґрунтування шляхів і засобів розв’язування проблеми</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3.1. Виконання судових рішень та виконавчих документів відповідно до норм чинного законодавства.</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4. Напрямки діяльності</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4.1. Основні заходи, здійснення яких передбачає дана Програма:</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сплата судових зборів;</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сплата виконавчих зборів;</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сплата суми основного боргу;</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сплата штрафів;</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сплата пені.</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5. Фінансування програми</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5.1. Фінансування програми передбачається за рахунок коштів місцевого бюджету та інших джерел не заборонених законом.</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5.2. Обсяг видатків з місцевого бюджету на відповідний рік визначається Броварською міською радою Броварського району Київської області при затвердження бюджету.</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5.3. Потреба у фінансуванні згідно додатку до Програми. </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6. Очікувані результати</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6.1. Реалізація Програми дозволить Броварській міській раді Київської області ефективно, без затримок у роботі та в повному обсязі виконувати судові рішення та виконавчі документи.</w:t>
      </w:r>
    </w:p>
    <w:p>
      <w:pPr>
        <w:spacing w:beforeAutospacing="0" w:afterAutospacing="0" w:line="240" w:lineRule="auto"/>
        <w:jc w:val="center"/>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7. Прикінцеві положення</w:t>
      </w:r>
    </w:p>
    <w:p>
      <w:pPr>
        <w:spacing w:beforeAutospacing="0" w:afterAutospacing="0" w:line="240" w:lineRule="auto"/>
        <w:jc w:val="both"/>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7.1. До Програми можуть бути внесені зміни та доповнення відповідно до чинного законодавства.</w:t>
      </w:r>
    </w:p>
    <w:p>
      <w:pPr>
        <w:spacing w:beforeAutospacing="0" w:afterAutospacing="0" w:line="240" w:lineRule="auto"/>
        <w:jc w:val="both"/>
        <w:rPr>
          <w:rFonts w:ascii="Times New Roman" w:hAnsi="Times New Roman"/>
          <w:b/>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 </w:t>
      </w:r>
      <w:r>
        <w:rPr>
          <w:rFonts w:ascii="Times New Roman" w:hAnsi="Times New Roman"/>
          <w:b/>
          <w:iCs w:val="0"/>
          <w:smallCaps w:val="0"/>
          <w:snapToGrid/>
          <w:spacing w:val="0"/>
          <w:w w:val="100"/>
          <w:position w:val="0"/>
          <w:sz w:val="28"/>
          <w:szCs w:val="22"/>
          <w:cs w:val="0"/>
        </w:rPr>
        <w:t xml:space="preserve"> </w:t>
      </w:r>
    </w:p>
    <w:p>
      <w:pPr>
        <w:spacing w:beforeAutospacing="0" w:afterAutospacing="0" w:line="240" w:lineRule="auto"/>
        <w:rPr>
          <w:rFonts w:ascii="Times New Roman" w:hAnsi="Times New Roman"/>
          <w:iCs w:val="0"/>
          <w:smallCaps w:val="0"/>
          <w:snapToGrid/>
          <w:spacing w:val="0"/>
          <w:w w:val="100"/>
          <w:position w:val="0"/>
          <w:sz w:val="28"/>
          <w:szCs w:val="22"/>
          <w:cs w:val="0"/>
        </w:rPr>
      </w:pPr>
      <w:r>
        <w:rPr>
          <w:rFonts w:ascii="Times New Roman" w:hAnsi="Times New Roman"/>
          <w:iCs w:val="0"/>
          <w:smallCaps w:val="0"/>
          <w:snapToGrid/>
          <w:spacing w:val="0"/>
          <w:w w:val="100"/>
          <w:position w:val="0"/>
          <w:sz w:val="28"/>
          <w:szCs w:val="22"/>
          <w:cs w:val="0"/>
        </w:rPr>
        <w:t xml:space="preserve">Міський голова </w:t>
        <w:tab/>
        <w:t xml:space="preserve">                                                                      </w:t>
        <w:tab/>
        <w:t>Ігор САПОЖКО</w:t>
      </w:r>
    </w:p>
    <w:p>
      <w:pPr>
        <w:spacing w:beforeAutospacing="0" w:after="0" w:afterAutospacing="0"/>
        <w:ind w:left="0"/>
        <w:jc w:val="both"/>
        <w:rPr>
          <w:rFonts w:ascii="Times New Roman" w:hAnsi="Times New Roman"/>
          <w:iCs/>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29</cp:revision>
  <dcterms:created xsi:type="dcterms:W3CDTF">2021-08-31T06:42:00Z</dcterms:created>
  <dcterms:modified xsi:type="dcterms:W3CDTF">2022-12-14T09:10:04Z</dcterms:modified>
</cp:coreProperties>
</file>