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9501C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3 Розпорядження міського голови </w:t>
      </w:r>
    </w:p>
    <w:permEnd w:id="0"/>
    <w:p w:rsidR="009501C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22.03.2023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9501C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950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ermStart w:id="1" w:edGrp="everyone"/>
      <w:r>
        <w:rPr>
          <w:rFonts w:ascii="Times New Roman" w:hAnsi="Times New Roman"/>
          <w:b/>
          <w:sz w:val="24"/>
          <w:szCs w:val="24"/>
          <w:lang w:val="uk-UA"/>
        </w:rPr>
        <w:t xml:space="preserve">ІНФОРМАЦІЙНА КАРТКА </w:t>
      </w:r>
    </w:p>
    <w:p w:rsidR="009501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адміністративної послуги з державної реєстрації права власності на нерухоме майно, права довірчої</w:t>
      </w:r>
      <w:r>
        <w:rPr>
          <w:rFonts w:ascii="Times New Roman" w:hAnsi="Times New Roman"/>
          <w:b/>
          <w:spacing w:val="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власності</w:t>
      </w:r>
      <w:r>
        <w:rPr>
          <w:rFonts w:ascii="Times New Roman" w:hAnsi="Times New Roman"/>
          <w:b/>
          <w:sz w:val="24"/>
          <w:lang w:val="uk-UA"/>
        </w:rPr>
        <w:t>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як способу забезпечення виконання зобов’язання на нерухоме майно,</w:t>
      </w:r>
      <w:r>
        <w:rPr>
          <w:rFonts w:ascii="Times New Roman" w:hAnsi="Times New Roman"/>
          <w:b/>
          <w:spacing w:val="-6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об’єкт</w:t>
      </w:r>
      <w:r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незавершеного будівництва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9501C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9501C6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497" w:type="dxa"/>
        <w:tblInd w:w="250" w:type="dxa"/>
        <w:tblLook w:val="04A0"/>
      </w:tblPr>
      <w:tblGrid>
        <w:gridCol w:w="456"/>
        <w:gridCol w:w="52"/>
        <w:gridCol w:w="2170"/>
        <w:gridCol w:w="6819"/>
      </w:tblGrid>
      <w:tr>
        <w:tblPrEx>
          <w:tblW w:w="9497" w:type="dxa"/>
          <w:tblInd w:w="250" w:type="dxa"/>
          <w:tblLook w:val="04A0"/>
        </w:tblPrEx>
        <w:tc>
          <w:tcPr>
            <w:tcW w:w="9497" w:type="dxa"/>
            <w:gridSpan w:val="4"/>
          </w:tcPr>
          <w:p w:rsidR="009501C6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Інформа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ція про суб’єкта надання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6819" w:type="dxa"/>
          </w:tcPr>
          <w:p w:rsidR="009501C6">
            <w:pPr>
              <w:pStyle w:val="TableParagraph"/>
              <w:ind w:left="-9" w:right="36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07400, м. Бровари, вул. Г</w:t>
            </w:r>
            <w:r w:rsidR="00C91E61">
              <w:rPr>
                <w:sz w:val="24"/>
                <w:szCs w:val="24"/>
              </w:rPr>
              <w:t>ероїв України</w:t>
            </w:r>
            <w:bookmarkStart w:id="2" w:name="_GoBack"/>
            <w:bookmarkEnd w:id="2"/>
            <w:r>
              <w:rPr>
                <w:sz w:val="24"/>
                <w:szCs w:val="24"/>
              </w:rPr>
              <w:t xml:space="preserve"> 18 каб. 115, приміщення ЦО «Прозорий офіс»</w:t>
            </w:r>
          </w:p>
          <w:p w:rsidR="009501C6">
            <w:pPr>
              <w:pStyle w:val="TableParagraph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Віддалені робочі місця:</w:t>
            </w:r>
          </w:p>
          <w:p w:rsidR="009501C6">
            <w:pPr>
              <w:pStyle w:val="TableParagraph"/>
              <w:ind w:left="-9" w:right="-2058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Броварський р-н, с. Княжичі, вул. Слави,</w:t>
            </w:r>
            <w:r>
              <w:rPr>
                <w:sz w:val="24"/>
                <w:szCs w:val="24"/>
              </w:rPr>
              <w:t xml:space="preserve"> 9</w:t>
            </w:r>
          </w:p>
          <w:p w:rsidR="009501C6">
            <w:pPr>
              <w:tabs>
                <w:tab w:val="left" w:pos="3855"/>
              </w:tabs>
              <w:ind w:left="-9"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819" w:type="dxa"/>
          </w:tcPr>
          <w:p w:rsidR="009501C6">
            <w:pPr>
              <w:pStyle w:val="TableParagraph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– четвер: 8.00 – 17.00</w:t>
            </w:r>
          </w:p>
          <w:p w:rsidR="009501C6">
            <w:pPr>
              <w:pStyle w:val="TableParagraph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8.00 – 15.45</w:t>
            </w:r>
          </w:p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6819" w:type="dxa"/>
          </w:tcPr>
          <w:p w:rsidR="009501C6">
            <w:pPr>
              <w:pStyle w:val="TableParagraph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Бровари:  тел.</w:t>
            </w:r>
            <w:r>
              <w:rPr>
                <w:sz w:val="24"/>
                <w:szCs w:val="24"/>
              </w:rPr>
              <w:t xml:space="preserve"> (04594) 6-09-88</w:t>
            </w:r>
          </w:p>
          <w:p w:rsidR="009501C6">
            <w:pPr>
              <w:pStyle w:val="TableParagraph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Княжичі: тел. (04594) 3-85-17</w:t>
            </w:r>
          </w:p>
          <w:p w:rsidR="009501C6">
            <w:pPr>
              <w:pStyle w:val="TableParagraph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Требухів: тел. (04594) 7-12-32</w:t>
            </w:r>
          </w:p>
          <w:p w:rsidR="009501C6">
            <w:pPr>
              <w:pStyle w:val="TableParagraph"/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веб-сайт: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9497" w:type="dxa"/>
            <w:gridSpan w:val="4"/>
          </w:tcPr>
          <w:p w:rsidR="009501C6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 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тративної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послуги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6819" w:type="dxa"/>
          </w:tcPr>
          <w:p w:rsidR="009501C6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речових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нерухоме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майно 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їх обтяжень»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819" w:type="dxa"/>
          </w:tcPr>
          <w:p w:rsidR="009501C6" w:rsidRPr="00C91E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Постанова Кабінету Міністрів України від 25 грудня 2015 року № 1127 «Про державну реєстрацію речових прав на</w:t>
            </w:r>
            <w:r>
              <w:rPr>
                <w:sz w:val="24"/>
                <w:szCs w:val="24"/>
              </w:rPr>
              <w:t xml:space="preserve"> нерухоме майно та їх обтяжень» (зі змінами);</w:t>
            </w:r>
          </w:p>
          <w:p w:rsidR="009501C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постанова Кабінету Міністрів України від 06</w:t>
            </w:r>
            <w:r>
              <w:rPr>
                <w:sz w:val="24"/>
                <w:szCs w:val="24"/>
              </w:rPr>
              <w:t xml:space="preserve">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:rsidR="009501C6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6819" w:type="dxa"/>
          </w:tcPr>
          <w:p w:rsidR="009501C6" w:rsidRPr="00C91E61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Міністерства юсти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ції України від 28 березня 2016 року № 898/5 «Про врегулювання відносин, пов’язаних з державною реєстрацією речових прав на нерухоме майно, що розташоване на тимчасово окупованій території України», зареєстрований у Міністерстві юстиції України 29 березня </w:t>
            </w:r>
            <w:r>
              <w:rPr>
                <w:rFonts w:ascii="Times New Roman" w:hAnsi="Times New Roman"/>
                <w:sz w:val="24"/>
                <w:szCs w:val="24"/>
              </w:rPr>
              <w:t>2016 року за № 468/28598 (зі змінами);</w:t>
            </w:r>
          </w:p>
          <w:p w:rsidR="009501C6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наказ Міністерства юстиції України від 21 листопада  2016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3276/5 «Про затвердження Вимог до оформлення заяв та рішень у сфері державної реєстрації речових прав на нерухоме майно та їх обтяжень», зареєстрований </w:t>
            </w:r>
            <w:r>
              <w:rPr>
                <w:rFonts w:ascii="Times New Roman" w:hAnsi="Times New Roman"/>
                <w:sz w:val="24"/>
                <w:szCs w:val="24"/>
              </w:rPr>
              <w:t>у Міністерстві юстиції України 21 листопада 2016 року за № 1504/29634 (зі змінами)</w:t>
            </w:r>
          </w:p>
        </w:tc>
      </w:tr>
      <w:tr>
        <w:tblPrEx>
          <w:tblW w:w="9497" w:type="dxa"/>
          <w:tblInd w:w="250" w:type="dxa"/>
          <w:tblLook w:val="04A0"/>
        </w:tblPrEx>
        <w:trPr>
          <w:trHeight w:val="263"/>
        </w:trPr>
        <w:tc>
          <w:tcPr>
            <w:tcW w:w="9497" w:type="dxa"/>
            <w:gridSpan w:val="4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819" w:type="dxa"/>
          </w:tcPr>
          <w:p w:rsidR="009501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заявника або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уповноваженої особи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  <w:gridSpan w:val="2"/>
          </w:tcPr>
          <w:p w:rsidR="009501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Вичерпний пер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950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9" w:type="dxa"/>
          </w:tcPr>
          <w:p w:rsidR="009501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про державну реєстрацію прав; документ, що підтверджує сплату адміністративного збору у повному обсязі або документ, що підтверджує право на звільнення від сплати адміністративного збору; документи, пе</w:t>
            </w:r>
            <w:r>
              <w:rPr>
                <w:sz w:val="24"/>
                <w:szCs w:val="24"/>
              </w:rPr>
              <w:t>редбачені частиною першою статті 27 або частинами першою-четвертою статті 271 Закону України «Про державну реєстрацію речових прав на нерухоме майно та їх обтяжень» та Порядком державної реєстрації речових прав на нерухоме майно та їх обтяжень, затверджени</w:t>
            </w:r>
            <w:r>
              <w:rPr>
                <w:sz w:val="24"/>
                <w:szCs w:val="24"/>
              </w:rPr>
              <w:t>м постановою Кабінету Міністрів України від 25 грудня 2015 року № 1127 «Про державну реєстрацію речових прав на нерухоме майно та їх обтяжень» (зі змінами)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2" w:type="dxa"/>
            <w:gridSpan w:val="2"/>
          </w:tcPr>
          <w:p w:rsidR="009501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та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іб подання доку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9501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6819" w:type="dxa"/>
          </w:tcPr>
          <w:p w:rsidR="009501C6">
            <w:pPr>
              <w:pStyle w:val="TableParagraph"/>
              <w:tabs>
                <w:tab w:val="left" w:pos="691"/>
              </w:tabs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у </w:t>
            </w:r>
            <w:r>
              <w:rPr>
                <w:sz w:val="24"/>
                <w:szCs w:val="24"/>
              </w:rPr>
              <w:t>паперовій формі документи подаються заявником особисто або уповноваженою ним особою;</w:t>
            </w:r>
          </w:p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в електронній формі через Єдиний державний </w:t>
            </w:r>
            <w:r>
              <w:rPr>
                <w:rFonts w:ascii="Times New Roman" w:hAnsi="Times New Roman"/>
                <w:sz w:val="24"/>
              </w:rPr>
              <w:t xml:space="preserve">вебпортал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електронних послуг чи інші інформаційні системи (у разі державної реєстрації прав, реєстрацію яких проведено до 01 </w:t>
            </w:r>
            <w:r>
              <w:rPr>
                <w:rFonts w:ascii="Times New Roman" w:hAnsi="Times New Roman"/>
                <w:sz w:val="24"/>
                <w:szCs w:val="24"/>
              </w:rPr>
              <w:t>січня 2013 року відповідно до законодавства, що діяло на момент їх виникнення; державної реєстрації права власності на закінчений будівництвом індивідуальний (садибний) житловий будинок, садовий, дачний будинок; державної реєстрації прав на підставі судово</w:t>
            </w:r>
            <w:r>
              <w:rPr>
                <w:rFonts w:ascii="Times New Roman" w:hAnsi="Times New Roman"/>
                <w:sz w:val="24"/>
                <w:szCs w:val="24"/>
              </w:rPr>
              <w:t>го рішення)*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Платність (безоплатні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ть) надання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6819" w:type="dxa"/>
          </w:tcPr>
          <w:p w:rsidR="009501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надається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платно,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крім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випадків,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визначених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статтею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державну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реєстрацію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речових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майно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обтяжень»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ння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6819" w:type="dxa"/>
          </w:tcPr>
          <w:p w:rsidR="009501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права власності прав проводиться 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перевищує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п’яти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робочих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 відповідної заяви в Державному реєстрі прав,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крім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випадку,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передбаченого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статтею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>
              <w:rPr>
                <w:position w:val="7"/>
                <w:sz w:val="24"/>
                <w:szCs w:val="24"/>
              </w:rPr>
              <w:t>-2</w:t>
            </w:r>
            <w:r>
              <w:rPr>
                <w:spacing w:val="7"/>
                <w:position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Закону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  <w:p w:rsidR="009501C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їх обтяжень».</w:t>
            </w:r>
          </w:p>
          <w:p w:rsidR="009501C6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скорочені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адміністративної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послуги:</w:t>
            </w:r>
          </w:p>
          <w:p w:rsidR="009501C6">
            <w:pPr>
              <w:pStyle w:val="TableParagraph"/>
              <w:numPr>
                <w:ilvl w:val="0"/>
                <w:numId w:val="3"/>
              </w:numPr>
              <w:spacing w:before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дні;</w:t>
            </w:r>
          </w:p>
          <w:p w:rsidR="009501C6">
            <w:pPr>
              <w:pStyle w:val="TableParagraph"/>
              <w:tabs>
                <w:tab w:val="left" w:pos="460"/>
              </w:tabs>
              <w:spacing w:before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робочий день;</w:t>
            </w:r>
          </w:p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години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Перелік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зупинення розгляду документів, поданих для </w:t>
            </w:r>
            <w:r>
              <w:rPr>
                <w:rFonts w:ascii="Times New Roman" w:hAnsi="Times New Roman"/>
                <w:sz w:val="24"/>
                <w:szCs w:val="24"/>
              </w:rPr>
              <w:t>державної реєстрації</w:t>
            </w:r>
          </w:p>
        </w:tc>
        <w:tc>
          <w:tcPr>
            <w:tcW w:w="6819" w:type="dxa"/>
          </w:tcPr>
          <w:p w:rsidR="009501C6">
            <w:pPr>
              <w:pStyle w:val="TableParagraph"/>
              <w:tabs>
                <w:tab w:val="left" w:pos="4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1) </w:t>
            </w:r>
            <w:r>
              <w:rPr>
                <w:sz w:val="24"/>
                <w:szCs w:val="24"/>
              </w:rPr>
              <w:t>подання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документів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  <w:szCs w:val="24"/>
              </w:rPr>
              <w:t>повному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обсязі,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передбаченому законодавством;</w:t>
            </w:r>
          </w:p>
          <w:p w:rsidR="009501C6">
            <w:pPr>
              <w:pStyle w:val="TableParagraph"/>
              <w:tabs>
                <w:tab w:val="left" w:pos="646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неподання заявником чи неотримання державним реєстратором у порядку, визначеному у пункті частини третьої </w:t>
            </w:r>
            <w:r>
              <w:rPr>
                <w:sz w:val="24"/>
                <w:szCs w:val="24"/>
              </w:rPr>
              <w:t>статті 10 Закону України «Про державну реєстрац</w:t>
            </w:r>
            <w:r>
              <w:rPr>
                <w:sz w:val="24"/>
                <w:szCs w:val="24"/>
              </w:rPr>
              <w:t xml:space="preserve">ію речових прав на нерухоме майно та їх обтяжень», інформації про зареєстровані до 01 січня 2013 року речові права на відповідне нерухоме майно, якщо наявність такої інформації є необхідною для державної реєстрації прав; </w:t>
            </w:r>
          </w:p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направлення запиту до суду для </w:t>
            </w:r>
            <w:r>
              <w:rPr>
                <w:rFonts w:ascii="Times New Roman" w:hAnsi="Times New Roman"/>
                <w:sz w:val="24"/>
                <w:szCs w:val="24"/>
              </w:rPr>
              <w:t>отримання копії судового рішення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державній реєстрації</w:t>
            </w:r>
          </w:p>
        </w:tc>
        <w:tc>
          <w:tcPr>
            <w:tcW w:w="6819" w:type="dxa"/>
          </w:tcPr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заявлене речове право, обтяження не підлягають державній реєстрації відповідно до Закону України «Про державну реєстрацію речових прав на нерухоме майно та їх обтяжень»;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заява про державну реєстрацію речових прав на нерухоме майно подана неналежною </w:t>
            </w:r>
            <w:r>
              <w:rPr>
                <w:sz w:val="24"/>
                <w:szCs w:val="24"/>
              </w:rPr>
              <w:t xml:space="preserve">особою;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подані документи не відповідають вимогам, встановленим Законом України «Про державну реєстрацію речових прав на нерухоме майно та їх обтяжень»; </w:t>
            </w:r>
          </w:p>
          <w:p w:rsidR="009501C6" w:rsidRPr="00C91E61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4) подані документи не дають змоги встановити набуття, зміну або припинення речових прав на нерухом</w:t>
            </w:r>
            <w:r>
              <w:rPr>
                <w:sz w:val="24"/>
                <w:szCs w:val="24"/>
              </w:rPr>
              <w:t xml:space="preserve">е майно; </w:t>
            </w:r>
          </w:p>
          <w:p w:rsidR="009501C6" w:rsidRPr="00C91E61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5) наявні суперечності між заявленими та вже зареєстрованими речовими правами на нерухоме майно;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наявні зареєстровані обтяження речових прав на нерухоме майно;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після завершення строку, встановленого частиною третьою статті 23 Закону Украї</w:t>
            </w:r>
            <w:r>
              <w:rPr>
                <w:sz w:val="24"/>
                <w:szCs w:val="24"/>
              </w:rPr>
              <w:t xml:space="preserve">ни «Про державну реєстрацію речових прав на нерухоме майно та їх обтяжень», не усунені обставини, що були підставою для прийняття рішення про зупинення розгляду заяви про державну реєстрацію прав;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документи подано до неналежного суб’єкта державної реєс</w:t>
            </w:r>
            <w:r>
              <w:rPr>
                <w:sz w:val="24"/>
                <w:szCs w:val="24"/>
              </w:rPr>
              <w:t xml:space="preserve">трації прав, нотаріуса;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заяву про державну реєстрацію прав в електронній формі подано особою, яка згідно із законодавством не має повноважень подавати заяви в електронній формі; </w:t>
            </w:r>
          </w:p>
          <w:p w:rsidR="009501C6">
            <w:pPr>
              <w:pStyle w:val="TableParagraph"/>
              <w:tabs>
                <w:tab w:val="left" w:pos="562"/>
              </w:tabs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заявником подано ті самі документи, на підставі яких заявлене речове </w:t>
            </w:r>
            <w:r>
              <w:rPr>
                <w:sz w:val="24"/>
                <w:szCs w:val="24"/>
              </w:rPr>
              <w:t xml:space="preserve">право вже зареєстровано у Державному реєстрі прав; </w:t>
            </w:r>
          </w:p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заявник звернувся із заявою про державну реєстрацію права власності щодо майна, що відповідно до поданих для такої реєстрації документів відчужено особою, яка на момент проведення такої реєстрації вне</w:t>
            </w:r>
            <w:r>
              <w:rPr>
                <w:rFonts w:ascii="Times New Roman" w:hAnsi="Times New Roman"/>
                <w:sz w:val="24"/>
                <w:szCs w:val="24"/>
              </w:rPr>
              <w:t>сена до Єдиного реєстру боржників, у тому числі за виконавчими провадженнями про стягнення аліментів за наявності заборгованості з відповідних платежів понад три місяці.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819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прийняття рішення про державну реєстрацію прав; відкриття розділу в Державному реєстрі речових прав на нерухоме майно та/або внесення до відкритого розділу  або спеціального розділу Державного реєстру речових прав на нерухоме майно відповідних відомосте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про речові права на нерухоме майно та їх обтяження, про об’єкти та суб’єктів цих прав; формування витягу з Державного реєстру речових прав на нерухоме майно про проведену державну реєстрацію прав; </w:t>
            </w:r>
          </w:p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рішення про відмову у державній реєстрації із зазначе</w:t>
            </w:r>
            <w:r>
              <w:rPr>
                <w:rFonts w:ascii="Times New Roman" w:hAnsi="Times New Roman"/>
                <w:sz w:val="24"/>
                <w:szCs w:val="24"/>
              </w:rPr>
              <w:t>нням виключного переліку обставин, що стали підставою для його прийняття</w:t>
            </w:r>
          </w:p>
        </w:tc>
      </w:tr>
      <w:tr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22" w:type="dxa"/>
            <w:gridSpan w:val="2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819" w:type="dxa"/>
          </w:tcPr>
          <w:p w:rsidR="009501C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центр надання адміністративних послуг або безпосередньо державним реєстратором;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вебпортал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Мін’юсту*</w:t>
            </w:r>
          </w:p>
        </w:tc>
      </w:tr>
    </w:tbl>
    <w:p w:rsidR="009501C6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*Після доопрацювання порталу </w:t>
      </w:r>
      <w:r>
        <w:rPr>
          <w:rFonts w:ascii="Times New Roman" w:hAnsi="Times New Roman"/>
          <w:sz w:val="24"/>
          <w:szCs w:val="24"/>
        </w:rPr>
        <w:t xml:space="preserve">електронних сервісів, який буде забезпечувати можливість подання таких документів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електронній формі</w:t>
      </w:r>
    </w:p>
    <w:p w:rsidR="009501C6" w:rsidRPr="00C91E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1C6" w:rsidRPr="00C91E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1C6">
      <w:pPr>
        <w:tabs>
          <w:tab w:val="left" w:pos="708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Ігор САПОЖКО</w:t>
      </w:r>
      <w:permEnd w:id="1"/>
    </w:p>
    <w:sectPr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1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C91E61" w:rsidR="00C91E61">
      <w:rPr>
        <w:noProof/>
        <w:lang w:val="uk-UA"/>
      </w:rPr>
      <w:t>2</w:t>
    </w:r>
    <w:r>
      <w:fldChar w:fldCharType="end"/>
    </w:r>
  </w:p>
  <w:p w:rsidR="009501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1C6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950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C776D5"/>
    <w:multiLevelType w:val="hybridMultilevel"/>
    <w:tmpl w:val="1EA4DBFA"/>
    <w:lvl w:ilvl="0">
      <w:start w:val="2"/>
      <w:numFmt w:val="decimal"/>
      <w:lvlText w:val="%1"/>
      <w:lvlJc w:val="left"/>
      <w:pPr>
        <w:ind w:left="422" w:hanging="360"/>
      </w:pPr>
    </w:lvl>
    <w:lvl w:ilvl="1">
      <w:start w:val="1"/>
      <w:numFmt w:val="lowerLetter"/>
      <w:lvlText w:val="%2."/>
      <w:lvlJc w:val="left"/>
      <w:pPr>
        <w:ind w:left="1142" w:hanging="360"/>
      </w:pPr>
    </w:lvl>
    <w:lvl w:ilvl="2">
      <w:start w:val="1"/>
      <w:numFmt w:val="lowerRoman"/>
      <w:lvlText w:val="%3."/>
      <w:lvlJc w:val="right"/>
      <w:pPr>
        <w:ind w:left="1862" w:hanging="180"/>
      </w:pPr>
    </w:lvl>
    <w:lvl w:ilvl="3">
      <w:start w:val="1"/>
      <w:numFmt w:val="decimal"/>
      <w:lvlText w:val="%4."/>
      <w:lvlJc w:val="left"/>
      <w:pPr>
        <w:ind w:left="2582" w:hanging="360"/>
      </w:pPr>
    </w:lvl>
    <w:lvl w:ilvl="4">
      <w:start w:val="1"/>
      <w:numFmt w:val="lowerLetter"/>
      <w:lvlText w:val="%5."/>
      <w:lvlJc w:val="left"/>
      <w:pPr>
        <w:ind w:left="3302" w:hanging="360"/>
      </w:pPr>
    </w:lvl>
    <w:lvl w:ilvl="5">
      <w:start w:val="1"/>
      <w:numFmt w:val="lowerRoman"/>
      <w:lvlText w:val="%6."/>
      <w:lvlJc w:val="right"/>
      <w:pPr>
        <w:ind w:left="4022" w:hanging="180"/>
      </w:pPr>
    </w:lvl>
    <w:lvl w:ilvl="6">
      <w:start w:val="1"/>
      <w:numFmt w:val="decimal"/>
      <w:lvlText w:val="%7."/>
      <w:lvlJc w:val="left"/>
      <w:pPr>
        <w:ind w:left="4742" w:hanging="360"/>
      </w:pPr>
    </w:lvl>
    <w:lvl w:ilvl="7">
      <w:start w:val="1"/>
      <w:numFmt w:val="lowerLetter"/>
      <w:lvlText w:val="%8."/>
      <w:lvlJc w:val="left"/>
      <w:pPr>
        <w:ind w:left="5462" w:hanging="360"/>
      </w:pPr>
    </w:lvl>
    <w:lvl w:ilvl="8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2EF35B5F"/>
    <w:multiLevelType w:val="hybridMultilevel"/>
    <w:tmpl w:val="FA0E6E0E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lowerLetter"/>
      <w:lvlText w:val="%2."/>
      <w:lvlJc w:val="left"/>
      <w:pPr>
        <w:ind w:left="1142" w:hanging="360"/>
      </w:pPr>
    </w:lvl>
    <w:lvl w:ilvl="2">
      <w:start w:val="1"/>
      <w:numFmt w:val="lowerRoman"/>
      <w:lvlText w:val="%3."/>
      <w:lvlJc w:val="right"/>
      <w:pPr>
        <w:ind w:left="1862" w:hanging="180"/>
      </w:pPr>
    </w:lvl>
    <w:lvl w:ilvl="3">
      <w:start w:val="1"/>
      <w:numFmt w:val="decimal"/>
      <w:lvlText w:val="%4."/>
      <w:lvlJc w:val="left"/>
      <w:pPr>
        <w:ind w:left="2582" w:hanging="360"/>
      </w:pPr>
    </w:lvl>
    <w:lvl w:ilvl="4">
      <w:start w:val="1"/>
      <w:numFmt w:val="lowerLetter"/>
      <w:lvlText w:val="%5."/>
      <w:lvlJc w:val="left"/>
      <w:pPr>
        <w:ind w:left="3302" w:hanging="360"/>
      </w:pPr>
    </w:lvl>
    <w:lvl w:ilvl="5">
      <w:start w:val="1"/>
      <w:numFmt w:val="lowerRoman"/>
      <w:lvlText w:val="%6."/>
      <w:lvlJc w:val="right"/>
      <w:pPr>
        <w:ind w:left="4022" w:hanging="180"/>
      </w:pPr>
    </w:lvl>
    <w:lvl w:ilvl="6">
      <w:start w:val="1"/>
      <w:numFmt w:val="decimal"/>
      <w:lvlText w:val="%7."/>
      <w:lvlJc w:val="left"/>
      <w:pPr>
        <w:ind w:left="4742" w:hanging="360"/>
      </w:pPr>
    </w:lvl>
    <w:lvl w:ilvl="7">
      <w:start w:val="1"/>
      <w:numFmt w:val="lowerLetter"/>
      <w:lvlText w:val="%8."/>
      <w:lvlJc w:val="left"/>
      <w:pPr>
        <w:ind w:left="5462" w:hanging="360"/>
      </w:pPr>
    </w:lvl>
    <w:lvl w:ilvl="8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7C2B62CF"/>
    <w:multiLevelType w:val="hybridMultilevel"/>
    <w:tmpl w:val="90EC417C"/>
    <w:lvl w:ilvl="0">
      <w:start w:val="1"/>
      <w:numFmt w:val="decimal"/>
      <w:lvlText w:val="%1)"/>
      <w:lvlJc w:val="left"/>
      <w:pPr>
        <w:ind w:left="62" w:hanging="283"/>
      </w:pPr>
      <w:rPr>
        <w:rFonts w:ascii="Times New Roman" w:hAnsi="Times New Roman"/>
        <w:w w:val="100"/>
        <w:sz w:val="24"/>
        <w:szCs w:val="24"/>
        <w:lang w:val="uk-UA" w:eastAsia="en-US" w:bidi="ar-SA"/>
      </w:rPr>
    </w:lvl>
    <w:lvl w:ilvl="1">
      <w:start w:val="1"/>
      <w:numFmt w:val="bullet"/>
      <w:lvlText w:val="•"/>
      <w:lvlJc w:val="left"/>
      <w:pPr>
        <w:ind w:left="676" w:hanging="283"/>
      </w:pPr>
      <w:rPr>
        <w:lang w:val="uk-UA" w:eastAsia="en-US" w:bidi="ar-SA"/>
      </w:rPr>
    </w:lvl>
    <w:lvl w:ilvl="2">
      <w:start w:val="1"/>
      <w:numFmt w:val="bullet"/>
      <w:lvlText w:val="•"/>
      <w:lvlJc w:val="left"/>
      <w:pPr>
        <w:ind w:left="1292" w:hanging="283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1908" w:hanging="283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2524" w:hanging="283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3141" w:hanging="283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3757" w:hanging="283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4373" w:hanging="283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4989" w:hanging="283"/>
      </w:pPr>
      <w:rPr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C6"/>
    <w:rsid w:val="00210CCE"/>
    <w:rsid w:val="009501C6"/>
    <w:rsid w:val="00C91E6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TableParagraph">
    <w:name w:val="Table Paragraph"/>
    <w:basedOn w:val="Normal"/>
    <w:qFormat/>
    <w:pPr>
      <w:widowControl w:val="0"/>
      <w:spacing w:before="60" w:after="0" w:line="240" w:lineRule="auto"/>
      <w:ind w:left="62" w:right="35"/>
      <w:jc w:val="both"/>
    </w:pPr>
    <w:rPr>
      <w:rFonts w:ascii="Times New Roman" w:hAnsi="Times New Roman"/>
      <w:lang w:val="uk-UA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5130</Words>
  <Characters>2925</Characters>
  <Application>Microsoft Office Word</Application>
  <DocSecurity>8</DocSecurity>
  <Lines>24</Lines>
  <Paragraphs>16</Paragraphs>
  <ScaleCrop>false</ScaleCrop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16</cp:revision>
  <dcterms:created xsi:type="dcterms:W3CDTF">2021-12-31T08:10:00Z</dcterms:created>
  <dcterms:modified xsi:type="dcterms:W3CDTF">2023-03-21T14:42:00Z</dcterms:modified>
</cp:coreProperties>
</file>