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10080"/>
        </w:tabs>
        <w:spacing w:beforeAutospacing="0" w:afterAutospacing="0" w:line="280" w:lineRule="exact"/>
        <w:ind w:firstLine="9923"/>
        <w:rPr>
          <w:rFonts w:ascii="Times New Roman" w:hAnsi="Times New Roman"/>
          <w:b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>
      <w:pPr>
        <w:tabs>
          <w:tab w:val="left" w:pos="10080"/>
        </w:tabs>
        <w:spacing w:beforeAutospacing="0" w:afterAutospacing="0"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permEnd w:id="0"/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25.04.2023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74-ОД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>
      <w:pPr>
        <w:tabs>
          <w:tab w:val="left" w:pos="10080"/>
        </w:tabs>
        <w:spacing w:beforeAutospacing="0" w:afterAutospacing="0"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>
      <w:pPr>
        <w:spacing w:beforeAutospacing="0" w:afterAutospacing="0"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>
      <w:pPr>
        <w:widowControl/>
        <w:bidi w:val="0"/>
        <w:spacing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План заходів</w:t>
      </w:r>
    </w:p>
    <w:p>
      <w:pPr>
        <w:widowControl/>
        <w:bidi w:val="0"/>
        <w:spacing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проведення Дня охорони праці на території Броварської територіальної громади у 2023 році</w:t>
      </w:r>
    </w:p>
    <w:p>
      <w:pPr>
        <w:widowControl/>
        <w:bidi w:val="0"/>
        <w:spacing w:line="276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 девізом «Безпечне та здорове робоче середовище — основний принцип та право на роботі»</w:t>
      </w:r>
    </w:p>
    <w:p>
      <w:pPr>
        <w:widowControl/>
        <w:bidi w:val="0"/>
        <w:spacing w:line="276" w:lineRule="auto"/>
        <w:ind w:left="0" w:right="0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tbl>
      <w:tblPr>
        <w:tblW w:w="154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55"/>
        <w:gridCol w:w="6403"/>
        <w:gridCol w:w="5271"/>
        <w:gridCol w:w="2610"/>
      </w:tblGrid>
      <w:tr>
        <w:tblPrEx>
          <w:tblW w:w="1545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55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№п/п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Найменування заходів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Строк виконання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Розробка  та  доведення до  підприємств, установ та організацій Броварської територіальної громади Плану заходів з проведення у 2023 році Дня охорони праці в Україні з девізом «Безпечне та здорове  робоче  середовище — основний принцип та право на роботі» (далі – План заходів)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Управління інспекції та контролю Броварської міської ради Броварського району Київської області (далі- Управління інспекції та контролю)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Висвітлення проблем безпеки праці на виробництві, ролі  органів  державної  виконавчої влади  і місцевого самоврядування,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роз’яснення працюючим їхнього права на безпечні умови праці та обов’язку роботодавця у створенні безпечних і здорових умов праці на підприємствах, установах та в організаціях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інспекції та контролю;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комунальні підприємства територіальної громади,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профспілкові організації підприємств,установ, організацій;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Моніторинг відповідності робочих місць належним і безпечним умовам праці,  безпеки виробничого середовища та гігієни праці, дотримання державної політики у сфері охорони праці, контроль за дотриманням періодичності  атестації робочих місць та забезпечення засобами індивідуального захисту, з метою убезпечення працівників від настання негативних наслідків та шкідливого впливу на здоров’я працюючих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Керівники підприємств, установ організацій,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профспілкові комітети  та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роз’яснювальної роботи щодо  обов’язків роботодавця у забезпеченні засобами індивідуального захисту, проведення навчання для роботи з обладнанням і механізмами, проведення навчання з охорони праці, проведення інструктажів з охорони праці і ведення відповідної документації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Керівники підприємств, установ організацій,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громадські організації,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профспілкові комітети,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відкритих уроків, конкурсів, зустрічей-бесід з фахівцями з охорони праці, працівниками медичних закладів, підготовка та проведення лекцій з тематикою: «28 квітня - всесвітній День охорони праці»,  для здобувачів освіти закладів освіти усіх рівнів, висвітлення змісту девізу: «Безпечне та здорове робоче середовище — основний принцип та право на роботі»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освіти та науки Броварської міської ради Броварського району Київської області (далі- управління освіти та науки)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7"/>
                <w:u w:val="none"/>
                <w:shd w:val="clear" w:color="auto" w:fill="FFFFFF"/>
                <w:vertAlign w:val="baseline"/>
                <w:lang w:val="x-none"/>
              </w:rPr>
            </w:pPr>
            <w:r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7"/>
                <w:u w:val="none"/>
                <w:shd w:val="clear" w:color="auto" w:fill="FFFFFF"/>
                <w:vertAlign w:val="baseline"/>
                <w:lang w:val="x-none"/>
              </w:rPr>
              <w:t>Інформування працюючих щодо їхнього права на безпечні умови праці, можливі ризики в роботі та негативні наслідки, негативний вплив на безпеку праці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Керівники підприємств, установ організацій,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профспілкові організації,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Поширення наочних матеріалів (брошур, буклетів, плакатів) щодо прав працівників в сфері безпеки та гігієни праці та обов’язку роботодавця на створення безпечних і нешкідливих умов праці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Керівники підприємств, установ та організацій,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профспілкові організації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та проведення на підприємствах конкурсів на безпечне робоче місце, виробничу дільницю (бригаду)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Керівники підприємств, установ організацій,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профспілкові комітети , 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Квітень-грудень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Залучення громадських організацій, спілок, трудових колективів та інших об’єднань до процесу формування політики щодо покращення умов  праці, безпеки і гігієни праці, з метою втілення девізу:  «Безпечне та здорове робоче середовище — основний принцип та право на роботі»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Керівники підприємств, установ та організацій, профспілкові комітети , 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Квітень-грудень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113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shd w:val="clear" w:color="auto" w:fill="FFFFFF"/>
              <w:bidi w:val="0"/>
              <w:spacing w:line="276" w:lineRule="auto"/>
              <w:ind w:left="0" w:right="0"/>
              <w:jc w:val="left"/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Доведення до відома працюючих оцінки роботи з охорони праці, </w:t>
            </w:r>
          </w:p>
          <w:p>
            <w:pPr>
              <w:widowControl/>
              <w:shd w:val="clear" w:color="auto" w:fill="FFFFFF"/>
              <w:bidi w:val="0"/>
              <w:spacing w:line="276" w:lineRule="auto"/>
              <w:ind w:left="0" w:right="0"/>
              <w:jc w:val="left"/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виявлення недоліківи в роботі зі створення безпечних і здорових умов праці, 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Georgia" w:hAnsi="Georgia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розроблення заходів щодо їх усунення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та втілення девізу Дня охорони праці у 2023 році: «Безпечне та здорове робоче середовище — основний принцип та право на роботі»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Керівники підприємств, установ організацій,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профспілкові організації,</w:t>
            </w:r>
          </w:p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трудові колективи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Квітень-грудень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1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Ушанування пам’яті загиблих на виробництві: проведення панахид, поминальних заходів, надання родичам загиблих на виробництві, з’ясування потреб родин загиблих та надання допомоги сім’ям загиблих, допомога  інвалідам праці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Підприємства, установи та організації, профспілкові органзації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20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Розміщення на сайті Броварської міської ради Броварського району Київської області анонсів про підготовку та відзначення у 2023 році Дня охорони праці на території Броварської міської територіальної громади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інспекції та контролю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1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Ушанування пам’яті загиблих на виробництві: проведення панахид, поминальних заходів, надання родичам загиблих на виробництві, з’ясування потреб родин загиблих та надання допомоги сім’ям загиблих, допомога  інвалідам праці 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Підприємства, установи та організації, профспілкові організації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Квітень-червень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1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постійної роботи із залучення працівників до процесу формування системи безпеки та здоров’я працівників на роботі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керівники підприємств та первинних профспілкових організацій на території Броварської міської територіальної громади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квітень-грудень</w:t>
            </w:r>
          </w:p>
        </w:tc>
      </w:tr>
      <w:tr>
        <w:tblPrEx>
          <w:tblW w:w="1545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1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Залучення зацікавлених громадських організацій, спілок та інших об’єднань до процесу формування політики щодо покращення безпеки та здоров’я працівників на роботі</w:t>
            </w:r>
          </w:p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Cs/>
                <w:sz w:val="32"/>
                <w:szCs w:val="32"/>
                <w:lang w:val="uk-UA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виконавчі органи Броварської міської ради Броварського району Київської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Квітень-грудень</w:t>
            </w:r>
          </w:p>
        </w:tc>
      </w:tr>
    </w:tbl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p>
      <w:pPr>
        <w:widowControl/>
        <w:bidi w:val="0"/>
        <w:spacing w:after="200" w:line="276" w:lineRule="auto"/>
        <w:ind w:left="0" w:right="0" w:firstLine="708"/>
        <w:jc w:val="both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</w:t>
        <w:tab/>
        <w:tab/>
        <w:tab/>
        <w:tab/>
        <w:tab/>
        <w:tab/>
        <w:tab/>
        <w:tab/>
        <w:tab/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6838" w:h="11906" w:orient="landscape" w:code="0"/>
      <w:pgMar w:top="1417" w:right="850" w:bottom="850" w:left="850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Autospacing="0" w:after="0" w:afterAutospacing="0" w:line="240" w:lineRule="auto"/>
    </w:pPr>
    <w:rPr>
      <w:rFonts w:ascii="Antiqua" w:hAnsi="Antiqua"/>
      <w:sz w:val="28"/>
      <w:szCs w:val="20"/>
      <w:lang w:val="hr-HR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ASKOD</cp:lastModifiedBy>
  <cp:revision>8</cp:revision>
  <dcterms:created xsi:type="dcterms:W3CDTF">2022-02-03T09:43:00Z</dcterms:created>
  <dcterms:modified xsi:type="dcterms:W3CDTF">2023-04-20T12:23:26Z</dcterms:modified>
</cp:coreProperties>
</file>