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C127B" w:rsidRPr="00EC127B" w:rsidP="00EC127B" w14:paraId="6B27B968" w14:textId="77777777">
      <w:pPr>
        <w:spacing w:after="0" w:line="240" w:lineRule="auto"/>
        <w:ind w:firstLine="4536"/>
        <w:jc w:val="center"/>
        <w:rPr>
          <w:rFonts w:ascii="Times New Roman" w:hAnsi="Times New Roman" w:cs="Times New Roman"/>
          <w:sz w:val="28"/>
          <w:szCs w:val="28"/>
        </w:rPr>
      </w:pPr>
      <w:permStart w:id="0" w:edGrp="everyone"/>
      <w:r w:rsidRPr="00EC127B">
        <w:rPr>
          <w:rFonts w:ascii="Times New Roman" w:hAnsi="Times New Roman" w:cs="Times New Roman"/>
          <w:sz w:val="28"/>
          <w:szCs w:val="28"/>
        </w:rPr>
        <w:t>Додаток</w:t>
      </w:r>
    </w:p>
    <w:p w:rsidR="00EC127B" w:rsidRPr="00EC127B" w:rsidP="00EC127B" w14:paraId="6E00C3F0" w14:textId="77777777">
      <w:pPr>
        <w:spacing w:after="0" w:line="240" w:lineRule="auto"/>
        <w:ind w:firstLine="4536"/>
        <w:jc w:val="center"/>
        <w:rPr>
          <w:rFonts w:ascii="Times New Roman" w:hAnsi="Times New Roman" w:cs="Times New Roman"/>
          <w:sz w:val="28"/>
          <w:szCs w:val="28"/>
        </w:rPr>
      </w:pPr>
      <w:r w:rsidRPr="00EC127B">
        <w:rPr>
          <w:rFonts w:ascii="Times New Roman" w:hAnsi="Times New Roman" w:cs="Times New Roman"/>
          <w:sz w:val="28"/>
          <w:szCs w:val="28"/>
        </w:rPr>
        <w:t>Рішення виконавчого комітету</w:t>
      </w:r>
    </w:p>
    <w:p w:rsidR="00EC127B" w:rsidRPr="00EC127B" w:rsidP="00EC127B" w14:paraId="2E69C374" w14:textId="77777777">
      <w:pPr>
        <w:spacing w:after="0" w:line="240" w:lineRule="auto"/>
        <w:ind w:firstLine="4536"/>
        <w:jc w:val="center"/>
        <w:rPr>
          <w:rFonts w:ascii="Times New Roman" w:hAnsi="Times New Roman" w:cs="Times New Roman"/>
          <w:sz w:val="28"/>
          <w:szCs w:val="28"/>
        </w:rPr>
      </w:pPr>
      <w:r w:rsidRPr="00EC127B">
        <w:rPr>
          <w:rFonts w:ascii="Times New Roman" w:hAnsi="Times New Roman" w:cs="Times New Roman"/>
          <w:sz w:val="28"/>
          <w:szCs w:val="28"/>
        </w:rPr>
        <w:t>Броварської міської ради</w:t>
      </w:r>
    </w:p>
    <w:p w:rsidR="00EC127B" w:rsidRPr="00EC127B" w:rsidP="00EC127B" w14:paraId="2A7BF6F5" w14:textId="5A90442D">
      <w:pPr>
        <w:spacing w:after="0" w:line="240" w:lineRule="auto"/>
        <w:ind w:firstLine="4536"/>
        <w:jc w:val="center"/>
        <w:rPr>
          <w:rFonts w:ascii="Times New Roman" w:hAnsi="Times New Roman" w:cs="Times New Roman"/>
          <w:sz w:val="28"/>
          <w:szCs w:val="28"/>
        </w:rPr>
      </w:pPr>
      <w:r w:rsidRPr="00EC127B">
        <w:rPr>
          <w:rFonts w:ascii="Times New Roman" w:hAnsi="Times New Roman" w:cs="Times New Roman"/>
          <w:sz w:val="28"/>
          <w:szCs w:val="28"/>
        </w:rPr>
        <w:t>Броварського району</w:t>
      </w:r>
      <w:r w:rsidRPr="00EC127B">
        <w:rPr>
          <w:rFonts w:ascii="Times New Roman" w:hAnsi="Times New Roman" w:cs="Times New Roman"/>
          <w:sz w:val="28"/>
          <w:szCs w:val="28"/>
          <w:lang w:val="ru-RU"/>
        </w:rPr>
        <w:t xml:space="preserve"> </w:t>
      </w:r>
      <w:r w:rsidRPr="00EC127B">
        <w:rPr>
          <w:rFonts w:ascii="Times New Roman" w:hAnsi="Times New Roman" w:cs="Times New Roman"/>
          <w:sz w:val="28"/>
          <w:szCs w:val="28"/>
        </w:rPr>
        <w:t>Київської області</w:t>
      </w:r>
    </w:p>
    <w:p w:rsidR="00EC127B" w:rsidRPr="00EC127B" w:rsidP="00EC127B" w14:paraId="70BDE938" w14:textId="302C72BB">
      <w:pPr>
        <w:spacing w:after="0" w:line="240" w:lineRule="auto"/>
        <w:ind w:firstLine="4536"/>
        <w:jc w:val="center"/>
        <w:rPr>
          <w:rFonts w:ascii="Times New Roman" w:hAnsi="Times New Roman" w:cs="Times New Roman"/>
          <w:sz w:val="28"/>
          <w:szCs w:val="28"/>
        </w:rPr>
      </w:pPr>
      <w:r w:rsidRPr="00EC127B">
        <w:rPr>
          <w:rFonts w:ascii="Times New Roman" w:hAnsi="Times New Roman" w:cs="Times New Roman"/>
          <w:sz w:val="28"/>
          <w:szCs w:val="28"/>
        </w:rPr>
        <w:t>від __________року</w:t>
      </w:r>
      <w:r w:rsidRPr="006B1308">
        <w:rPr>
          <w:rFonts w:ascii="Times New Roman" w:hAnsi="Times New Roman" w:cs="Times New Roman"/>
          <w:sz w:val="28"/>
          <w:szCs w:val="28"/>
          <w:lang w:val="ru-RU"/>
        </w:rPr>
        <w:t xml:space="preserve">  </w:t>
      </w:r>
      <w:r w:rsidRPr="00EC127B">
        <w:rPr>
          <w:rFonts w:ascii="Times New Roman" w:hAnsi="Times New Roman" w:cs="Times New Roman"/>
          <w:sz w:val="28"/>
          <w:szCs w:val="28"/>
        </w:rPr>
        <w:t>№  ______________</w:t>
      </w:r>
    </w:p>
    <w:p w:rsidR="00EC127B" w:rsidRPr="00EC127B" w:rsidP="00EC127B" w14:paraId="40A90FD7" w14:textId="77777777">
      <w:pPr>
        <w:pStyle w:val="docdata"/>
        <w:shd w:val="clear" w:color="auto" w:fill="FFFFFF"/>
        <w:spacing w:before="0" w:beforeAutospacing="0" w:after="0" w:afterAutospacing="0"/>
        <w:jc w:val="right"/>
        <w:rPr>
          <w:bCs/>
          <w:color w:val="000000"/>
          <w:sz w:val="28"/>
          <w:szCs w:val="28"/>
        </w:rPr>
      </w:pPr>
    </w:p>
    <w:p w:rsidR="00EC127B" w:rsidRPr="00EC127B" w:rsidP="00EC127B" w14:paraId="30D186BE" w14:textId="77777777">
      <w:pPr>
        <w:pStyle w:val="docdata"/>
        <w:shd w:val="clear" w:color="auto" w:fill="FFFFFF"/>
        <w:spacing w:before="0" w:beforeAutospacing="0" w:after="0" w:afterAutospacing="0"/>
        <w:jc w:val="center"/>
        <w:rPr>
          <w:b/>
          <w:bCs/>
          <w:color w:val="000000"/>
          <w:sz w:val="28"/>
          <w:szCs w:val="28"/>
        </w:rPr>
      </w:pPr>
      <w:r w:rsidRPr="00EC127B">
        <w:rPr>
          <w:b/>
          <w:bCs/>
          <w:color w:val="000000"/>
          <w:sz w:val="28"/>
          <w:szCs w:val="28"/>
        </w:rPr>
        <w:t>ПАСПОРТ</w:t>
      </w:r>
    </w:p>
    <w:p w:rsidR="00EC127B" w:rsidRPr="00EC127B" w:rsidP="00EC127B" w14:paraId="712B067B" w14:textId="77777777">
      <w:pPr>
        <w:pStyle w:val="docdata"/>
        <w:shd w:val="clear" w:color="auto" w:fill="FFFFFF"/>
        <w:spacing w:before="0" w:beforeAutospacing="0" w:after="0" w:afterAutospacing="0"/>
        <w:jc w:val="center"/>
        <w:rPr>
          <w:sz w:val="28"/>
          <w:szCs w:val="28"/>
        </w:rPr>
      </w:pPr>
      <w:r w:rsidRPr="00EC127B">
        <w:rPr>
          <w:b/>
          <w:bCs/>
          <w:color w:val="000000"/>
          <w:sz w:val="28"/>
          <w:szCs w:val="28"/>
        </w:rPr>
        <w:t>Програми організації суспільно корисних робіт для порушників,</w:t>
      </w:r>
    </w:p>
    <w:p w:rsidR="00EC127B" w:rsidRPr="00EC127B" w:rsidP="00EC127B" w14:paraId="1AA48643" w14:textId="77777777">
      <w:pPr>
        <w:pStyle w:val="NormalWeb"/>
        <w:shd w:val="clear" w:color="auto" w:fill="FFFFFF"/>
        <w:spacing w:before="0" w:beforeAutospacing="0" w:after="0" w:afterAutospacing="0"/>
        <w:jc w:val="center"/>
        <w:rPr>
          <w:sz w:val="28"/>
          <w:szCs w:val="28"/>
        </w:rPr>
      </w:pPr>
      <w:r w:rsidRPr="00EC127B">
        <w:rPr>
          <w:b/>
          <w:bCs/>
          <w:color w:val="000000"/>
          <w:sz w:val="28"/>
          <w:szCs w:val="28"/>
        </w:rPr>
        <w:t>на яких судом накладено адміністративне стягнення</w:t>
      </w:r>
    </w:p>
    <w:p w:rsidR="00EC127B" w:rsidRPr="00EC127B" w:rsidP="00EC127B" w14:paraId="34BF6945" w14:textId="77777777">
      <w:pPr>
        <w:pStyle w:val="NormalWeb"/>
        <w:shd w:val="clear" w:color="auto" w:fill="FFFFFF"/>
        <w:spacing w:before="0" w:beforeAutospacing="0" w:after="0" w:afterAutospacing="0"/>
        <w:jc w:val="center"/>
        <w:rPr>
          <w:b/>
          <w:bCs/>
          <w:color w:val="000000"/>
          <w:sz w:val="28"/>
          <w:szCs w:val="28"/>
        </w:rPr>
      </w:pPr>
      <w:r w:rsidRPr="00EC127B">
        <w:rPr>
          <w:b/>
          <w:bCs/>
          <w:color w:val="000000"/>
          <w:sz w:val="28"/>
          <w:szCs w:val="28"/>
        </w:rPr>
        <w:t>у вигляді виконання суспільно корисних робіт на 2023-2027 роки</w:t>
      </w:r>
    </w:p>
    <w:p w:rsidR="00EC127B" w:rsidRPr="00EC127B" w:rsidP="00EC127B" w14:paraId="2E3646FF" w14:textId="77777777">
      <w:pPr>
        <w:pStyle w:val="NormalWeb"/>
        <w:shd w:val="clear" w:color="auto" w:fill="FFFFFF"/>
        <w:spacing w:before="0" w:beforeAutospacing="0" w:after="0" w:afterAutospacing="0"/>
        <w:jc w:val="center"/>
        <w:rPr>
          <w:sz w:val="28"/>
          <w:szCs w:val="28"/>
        </w:rPr>
      </w:pPr>
    </w:p>
    <w:tbl>
      <w:tblPr>
        <w:tblStyle w:val="TableGrid"/>
        <w:tblW w:w="0" w:type="auto"/>
        <w:tblLook w:val="04A0"/>
      </w:tblPr>
      <w:tblGrid>
        <w:gridCol w:w="3214"/>
        <w:gridCol w:w="6500"/>
      </w:tblGrid>
      <w:tr w14:paraId="4E3FD0EE" w14:textId="77777777" w:rsidTr="007A3D40">
        <w:tblPrEx>
          <w:tblW w:w="0" w:type="auto"/>
          <w:tblLook w:val="04A0"/>
        </w:tblPrEx>
        <w:tc>
          <w:tcPr>
            <w:tcW w:w="3227" w:type="dxa"/>
          </w:tcPr>
          <w:p w:rsidR="00EC127B" w:rsidRPr="006B1308" w:rsidP="00EC127B" w14:paraId="734E70B0" w14:textId="77777777">
            <w:pPr>
              <w:rPr>
                <w:rFonts w:ascii="Times New Roman" w:hAnsi="Times New Roman" w:cs="Times New Roman"/>
                <w:sz w:val="28"/>
                <w:szCs w:val="28"/>
              </w:rPr>
            </w:pPr>
            <w:r w:rsidRPr="006B1308">
              <w:rPr>
                <w:rFonts w:ascii="Times New Roman" w:hAnsi="Times New Roman" w:cs="Times New Roman"/>
                <w:sz w:val="28"/>
                <w:szCs w:val="28"/>
              </w:rPr>
              <w:t xml:space="preserve">1.Ініціатор </w:t>
            </w:r>
            <w:r w:rsidRPr="006B1308">
              <w:rPr>
                <w:rFonts w:ascii="Times New Roman" w:hAnsi="Times New Roman" w:cs="Times New Roman"/>
                <w:sz w:val="28"/>
                <w:szCs w:val="28"/>
              </w:rPr>
              <w:t>розроблення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Програми</w:t>
            </w:r>
          </w:p>
        </w:tc>
        <w:tc>
          <w:tcPr>
            <w:tcW w:w="6628" w:type="dxa"/>
          </w:tcPr>
          <w:p w:rsidR="00EC127B" w:rsidRPr="006B1308" w:rsidP="00EC127B" w14:paraId="2345F7CA" w14:textId="77777777">
            <w:pPr>
              <w:rPr>
                <w:rFonts w:ascii="Times New Roman" w:hAnsi="Times New Roman" w:cs="Times New Roman"/>
                <w:sz w:val="28"/>
                <w:szCs w:val="28"/>
              </w:rPr>
            </w:pPr>
            <w:r w:rsidRPr="006B1308">
              <w:rPr>
                <w:rFonts w:ascii="Times New Roman" w:hAnsi="Times New Roman" w:cs="Times New Roman"/>
                <w:sz w:val="28"/>
                <w:szCs w:val="28"/>
              </w:rPr>
              <w:t>Управління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будівництва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житлово</w:t>
            </w:r>
            <w:r w:rsidRPr="006B1308">
              <w:rPr>
                <w:rFonts w:ascii="Times New Roman" w:hAnsi="Times New Roman" w:cs="Times New Roman"/>
                <w:sz w:val="28"/>
                <w:szCs w:val="28"/>
              </w:rPr>
              <w:t xml:space="preserve"> – </w:t>
            </w:r>
            <w:r w:rsidRPr="006B1308">
              <w:rPr>
                <w:rFonts w:ascii="Times New Roman" w:hAnsi="Times New Roman" w:cs="Times New Roman"/>
                <w:sz w:val="28"/>
                <w:szCs w:val="28"/>
              </w:rPr>
              <w:t>комунального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господарства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інфраструктури</w:t>
            </w:r>
            <w:r w:rsidRPr="006B1308">
              <w:rPr>
                <w:rFonts w:ascii="Times New Roman" w:hAnsi="Times New Roman" w:cs="Times New Roman"/>
                <w:sz w:val="28"/>
                <w:szCs w:val="28"/>
              </w:rPr>
              <w:t xml:space="preserve"> та транспорту </w:t>
            </w:r>
            <w:r w:rsidRPr="006B1308">
              <w:rPr>
                <w:rFonts w:ascii="Times New Roman" w:hAnsi="Times New Roman" w:cs="Times New Roman"/>
                <w:sz w:val="28"/>
                <w:szCs w:val="28"/>
              </w:rPr>
              <w:t>Броварської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міської</w:t>
            </w:r>
            <w:r w:rsidRPr="006B1308">
              <w:rPr>
                <w:rFonts w:ascii="Times New Roman" w:hAnsi="Times New Roman" w:cs="Times New Roman"/>
                <w:sz w:val="28"/>
                <w:szCs w:val="28"/>
              </w:rPr>
              <w:t xml:space="preserve"> ради </w:t>
            </w:r>
            <w:r w:rsidRPr="006B1308">
              <w:rPr>
                <w:rFonts w:ascii="Times New Roman" w:hAnsi="Times New Roman" w:cs="Times New Roman"/>
                <w:sz w:val="28"/>
                <w:szCs w:val="28"/>
              </w:rPr>
              <w:t>Броварського</w:t>
            </w:r>
            <w:r w:rsidRPr="006B1308">
              <w:rPr>
                <w:rFonts w:ascii="Times New Roman" w:hAnsi="Times New Roman" w:cs="Times New Roman"/>
                <w:sz w:val="28"/>
                <w:szCs w:val="28"/>
              </w:rPr>
              <w:t xml:space="preserve"> району </w:t>
            </w:r>
            <w:r w:rsidRPr="006B1308">
              <w:rPr>
                <w:rFonts w:ascii="Times New Roman" w:hAnsi="Times New Roman" w:cs="Times New Roman"/>
                <w:sz w:val="28"/>
                <w:szCs w:val="28"/>
              </w:rPr>
              <w:t>Київськоїобласті</w:t>
            </w:r>
            <w:r w:rsidRPr="006B1308">
              <w:rPr>
                <w:rFonts w:ascii="Times New Roman" w:hAnsi="Times New Roman" w:cs="Times New Roman"/>
                <w:sz w:val="28"/>
                <w:szCs w:val="28"/>
              </w:rPr>
              <w:t>.</w:t>
            </w:r>
          </w:p>
        </w:tc>
      </w:tr>
      <w:tr w14:paraId="2FED2D93" w14:textId="77777777" w:rsidTr="007A3D40">
        <w:tblPrEx>
          <w:tblW w:w="0" w:type="auto"/>
          <w:tblLook w:val="04A0"/>
        </w:tblPrEx>
        <w:tc>
          <w:tcPr>
            <w:tcW w:w="3227" w:type="dxa"/>
          </w:tcPr>
          <w:p w:rsidR="00EC127B" w:rsidRPr="006B1308" w:rsidP="00EC127B" w14:paraId="013F1E6B" w14:textId="77777777">
            <w:pPr>
              <w:rPr>
                <w:rFonts w:ascii="Times New Roman" w:hAnsi="Times New Roman" w:cs="Times New Roman"/>
                <w:sz w:val="28"/>
                <w:szCs w:val="28"/>
              </w:rPr>
            </w:pPr>
            <w:r w:rsidRPr="006B1308">
              <w:rPr>
                <w:rFonts w:ascii="Times New Roman" w:hAnsi="Times New Roman" w:cs="Times New Roman"/>
                <w:sz w:val="28"/>
                <w:szCs w:val="28"/>
              </w:rPr>
              <w:t xml:space="preserve">2.Назва нормативно правового акту </w:t>
            </w:r>
          </w:p>
        </w:tc>
        <w:tc>
          <w:tcPr>
            <w:tcW w:w="6628" w:type="dxa"/>
          </w:tcPr>
          <w:p w:rsidR="00EC127B" w:rsidRPr="006B1308" w:rsidP="00EC127B" w14:paraId="6D7EAE2F" w14:textId="18644AA4">
            <w:pPr>
              <w:tabs>
                <w:tab w:val="left" w:pos="708"/>
                <w:tab w:val="left" w:pos="1416"/>
                <w:tab w:val="left" w:pos="2124"/>
                <w:tab w:val="left" w:pos="2832"/>
                <w:tab w:val="left" w:pos="3540"/>
                <w:tab w:val="left" w:pos="4248"/>
                <w:tab w:val="left" w:pos="5511"/>
                <w:tab w:val="left" w:pos="5760"/>
              </w:tabs>
              <w:rPr>
                <w:rFonts w:ascii="Times New Roman" w:hAnsi="Times New Roman" w:cs="Times New Roman"/>
                <w:sz w:val="28"/>
                <w:szCs w:val="28"/>
              </w:rPr>
            </w:pPr>
            <w:r w:rsidRPr="006B1308">
              <w:rPr>
                <w:rFonts w:ascii="Times New Roman" w:hAnsi="Times New Roman" w:cs="Times New Roman"/>
                <w:sz w:val="28"/>
                <w:szCs w:val="28"/>
              </w:rPr>
              <w:t xml:space="preserve">Закон </w:t>
            </w:r>
            <w:r w:rsidRPr="006B1308">
              <w:rPr>
                <w:rFonts w:ascii="Times New Roman" w:hAnsi="Times New Roman" w:cs="Times New Roman"/>
                <w:sz w:val="28"/>
                <w:szCs w:val="28"/>
              </w:rPr>
              <w:t>України</w:t>
            </w:r>
            <w:r w:rsidRPr="006B1308">
              <w:rPr>
                <w:rFonts w:ascii="Times New Roman" w:hAnsi="Times New Roman" w:cs="Times New Roman"/>
                <w:sz w:val="28"/>
                <w:szCs w:val="28"/>
              </w:rPr>
              <w:t xml:space="preserve"> «Про </w:t>
            </w:r>
            <w:r w:rsidRPr="006B1308">
              <w:rPr>
                <w:rFonts w:ascii="Times New Roman" w:hAnsi="Times New Roman" w:cs="Times New Roman"/>
                <w:sz w:val="28"/>
                <w:szCs w:val="28"/>
              </w:rPr>
              <w:t>внесення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змін</w:t>
            </w:r>
            <w:r w:rsidRPr="006B1308">
              <w:rPr>
                <w:rFonts w:ascii="Times New Roman" w:hAnsi="Times New Roman" w:cs="Times New Roman"/>
                <w:sz w:val="28"/>
                <w:szCs w:val="28"/>
              </w:rPr>
              <w:t xml:space="preserve"> до </w:t>
            </w:r>
            <w:r w:rsidRPr="006B1308">
              <w:rPr>
                <w:rFonts w:ascii="Times New Roman" w:hAnsi="Times New Roman" w:cs="Times New Roman"/>
                <w:sz w:val="28"/>
                <w:szCs w:val="28"/>
              </w:rPr>
              <w:t>деяких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законодавчих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актівУкраїни</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щодо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посилення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захисту</w:t>
            </w:r>
            <w:r w:rsidRPr="006B1308">
              <w:rPr>
                <w:rFonts w:ascii="Times New Roman" w:hAnsi="Times New Roman" w:cs="Times New Roman"/>
                <w:sz w:val="28"/>
                <w:szCs w:val="28"/>
              </w:rPr>
              <w:t xml:space="preserve"> прав </w:t>
            </w:r>
            <w:r w:rsidRPr="006B1308">
              <w:rPr>
                <w:rFonts w:ascii="Times New Roman" w:hAnsi="Times New Roman" w:cs="Times New Roman"/>
                <w:sz w:val="28"/>
                <w:szCs w:val="28"/>
              </w:rPr>
              <w:t>дитини</w:t>
            </w:r>
            <w:r w:rsidRPr="006B1308">
              <w:rPr>
                <w:rFonts w:ascii="Times New Roman" w:hAnsi="Times New Roman" w:cs="Times New Roman"/>
                <w:sz w:val="28"/>
                <w:szCs w:val="28"/>
              </w:rPr>
              <w:t xml:space="preserve"> на </w:t>
            </w:r>
            <w:r w:rsidRPr="006B1308">
              <w:rPr>
                <w:rFonts w:ascii="Times New Roman" w:hAnsi="Times New Roman" w:cs="Times New Roman"/>
                <w:sz w:val="28"/>
                <w:szCs w:val="28"/>
              </w:rPr>
              <w:t>належне</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утримання</w:t>
            </w:r>
            <w:r w:rsidRPr="006B1308">
              <w:rPr>
                <w:rFonts w:ascii="Times New Roman" w:hAnsi="Times New Roman" w:cs="Times New Roman"/>
                <w:sz w:val="28"/>
                <w:szCs w:val="28"/>
              </w:rPr>
              <w:t xml:space="preserve"> шляхом </w:t>
            </w:r>
            <w:r w:rsidRPr="006B1308">
              <w:rPr>
                <w:rFonts w:ascii="Times New Roman" w:hAnsi="Times New Roman" w:cs="Times New Roman"/>
                <w:sz w:val="28"/>
                <w:szCs w:val="28"/>
              </w:rPr>
              <w:t>вдосконалення</w:t>
            </w:r>
            <w:r w:rsidRPr="006B1308">
              <w:rPr>
                <w:rFonts w:ascii="Times New Roman" w:hAnsi="Times New Roman" w:cs="Times New Roman"/>
                <w:sz w:val="28"/>
                <w:szCs w:val="28"/>
              </w:rPr>
              <w:t xml:space="preserve"> порядку </w:t>
            </w:r>
            <w:r w:rsidRPr="006B1308">
              <w:rPr>
                <w:rFonts w:ascii="Times New Roman" w:hAnsi="Times New Roman" w:cs="Times New Roman"/>
                <w:sz w:val="28"/>
                <w:szCs w:val="28"/>
              </w:rPr>
              <w:t>примусового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стягнення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заборгованості</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зі</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сплати</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аліментів</w:t>
            </w:r>
            <w:r w:rsidRPr="006B1308">
              <w:rPr>
                <w:rFonts w:ascii="Times New Roman" w:hAnsi="Times New Roman" w:cs="Times New Roman"/>
                <w:sz w:val="28"/>
                <w:szCs w:val="28"/>
              </w:rPr>
              <w:t xml:space="preserve">», Кодекс </w:t>
            </w:r>
            <w:r w:rsidRPr="006B1308">
              <w:rPr>
                <w:rFonts w:ascii="Times New Roman" w:hAnsi="Times New Roman" w:cs="Times New Roman"/>
                <w:sz w:val="28"/>
                <w:szCs w:val="28"/>
              </w:rPr>
              <w:t>України</w:t>
            </w:r>
            <w:r w:rsidRPr="006B1308">
              <w:rPr>
                <w:rFonts w:ascii="Times New Roman" w:hAnsi="Times New Roman" w:cs="Times New Roman"/>
                <w:sz w:val="28"/>
                <w:szCs w:val="28"/>
              </w:rPr>
              <w:t xml:space="preserve"> про </w:t>
            </w:r>
            <w:r w:rsidRPr="006B1308">
              <w:rPr>
                <w:rFonts w:ascii="Times New Roman" w:hAnsi="Times New Roman" w:cs="Times New Roman"/>
                <w:sz w:val="28"/>
                <w:szCs w:val="28"/>
              </w:rPr>
              <w:t>адміністративні</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правопорушення</w:t>
            </w:r>
            <w:r w:rsidRPr="006B1308">
              <w:rPr>
                <w:rFonts w:ascii="Times New Roman" w:hAnsi="Times New Roman" w:cs="Times New Roman"/>
                <w:sz w:val="28"/>
                <w:szCs w:val="28"/>
              </w:rPr>
              <w:t xml:space="preserve">, Закон </w:t>
            </w:r>
            <w:r w:rsidRPr="006B1308">
              <w:rPr>
                <w:rFonts w:ascii="Times New Roman" w:hAnsi="Times New Roman" w:cs="Times New Roman"/>
                <w:sz w:val="28"/>
                <w:szCs w:val="28"/>
              </w:rPr>
              <w:t>України</w:t>
            </w:r>
            <w:r w:rsidRPr="006B1308">
              <w:rPr>
                <w:rFonts w:ascii="Times New Roman" w:hAnsi="Times New Roman" w:cs="Times New Roman"/>
                <w:sz w:val="28"/>
                <w:szCs w:val="28"/>
              </w:rPr>
              <w:t xml:space="preserve"> про </w:t>
            </w:r>
            <w:r w:rsidRPr="006B1308">
              <w:rPr>
                <w:rFonts w:ascii="Times New Roman" w:hAnsi="Times New Roman" w:cs="Times New Roman"/>
                <w:sz w:val="28"/>
                <w:szCs w:val="28"/>
              </w:rPr>
              <w:t>місцеве</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самоврядування</w:t>
            </w:r>
            <w:r w:rsidRPr="006B1308">
              <w:rPr>
                <w:rFonts w:ascii="Times New Roman" w:hAnsi="Times New Roman" w:cs="Times New Roman"/>
                <w:sz w:val="28"/>
                <w:szCs w:val="28"/>
              </w:rPr>
              <w:t xml:space="preserve"> в </w:t>
            </w:r>
            <w:r w:rsidRPr="006B1308">
              <w:rPr>
                <w:rFonts w:ascii="Times New Roman" w:hAnsi="Times New Roman" w:cs="Times New Roman"/>
                <w:sz w:val="28"/>
                <w:szCs w:val="28"/>
              </w:rPr>
              <w:t>Україні</w:t>
            </w:r>
            <w:r w:rsidRPr="006B1308">
              <w:rPr>
                <w:rFonts w:ascii="Times New Roman" w:hAnsi="Times New Roman" w:cs="Times New Roman"/>
                <w:sz w:val="28"/>
                <w:szCs w:val="28"/>
              </w:rPr>
              <w:t xml:space="preserve">; наказ </w:t>
            </w:r>
            <w:r w:rsidRPr="006B1308">
              <w:rPr>
                <w:rFonts w:ascii="Times New Roman" w:hAnsi="Times New Roman" w:cs="Times New Roman"/>
                <w:sz w:val="28"/>
                <w:szCs w:val="28"/>
              </w:rPr>
              <w:t>Міністерства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юстиції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Українивід</w:t>
            </w:r>
            <w:r w:rsidRPr="006B1308">
              <w:rPr>
                <w:rFonts w:ascii="Times New Roman" w:hAnsi="Times New Roman" w:cs="Times New Roman"/>
                <w:sz w:val="28"/>
                <w:szCs w:val="28"/>
              </w:rPr>
              <w:t xml:space="preserve"> 19.03.2013 № 474/5 «Про </w:t>
            </w:r>
            <w:r w:rsidRPr="006B1308">
              <w:rPr>
                <w:rFonts w:ascii="Times New Roman" w:hAnsi="Times New Roman" w:cs="Times New Roman"/>
                <w:sz w:val="28"/>
                <w:szCs w:val="28"/>
              </w:rPr>
              <w:t>затвердження</w:t>
            </w:r>
            <w:r w:rsidRPr="006B1308">
              <w:rPr>
                <w:rFonts w:ascii="Times New Roman" w:hAnsi="Times New Roman" w:cs="Times New Roman"/>
                <w:sz w:val="28"/>
                <w:szCs w:val="28"/>
              </w:rPr>
              <w:t xml:space="preserve"> Порядку </w:t>
            </w:r>
            <w:r w:rsidRPr="006B1308">
              <w:rPr>
                <w:rFonts w:ascii="Times New Roman" w:hAnsi="Times New Roman" w:cs="Times New Roman"/>
                <w:sz w:val="28"/>
                <w:szCs w:val="28"/>
              </w:rPr>
              <w:t>виконання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адміністративних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стягнень</w:t>
            </w:r>
            <w:r w:rsidRPr="006B1308">
              <w:rPr>
                <w:rFonts w:ascii="Times New Roman" w:hAnsi="Times New Roman" w:cs="Times New Roman"/>
                <w:sz w:val="28"/>
                <w:szCs w:val="28"/>
              </w:rPr>
              <w:t xml:space="preserve"> у </w:t>
            </w:r>
            <w:r w:rsidRPr="006B1308">
              <w:rPr>
                <w:rFonts w:ascii="Times New Roman" w:hAnsi="Times New Roman" w:cs="Times New Roman"/>
                <w:sz w:val="28"/>
                <w:szCs w:val="28"/>
              </w:rPr>
              <w:t>вигляді</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громадських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робіт</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виправних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робіт</w:t>
            </w:r>
            <w:r w:rsidRPr="006B1308">
              <w:rPr>
                <w:rFonts w:ascii="Times New Roman" w:hAnsi="Times New Roman" w:cs="Times New Roman"/>
                <w:sz w:val="28"/>
                <w:szCs w:val="28"/>
              </w:rPr>
              <w:t xml:space="preserve"> та </w:t>
            </w:r>
            <w:r w:rsidRPr="006B1308">
              <w:rPr>
                <w:rFonts w:ascii="Times New Roman" w:hAnsi="Times New Roman" w:cs="Times New Roman"/>
                <w:sz w:val="28"/>
                <w:szCs w:val="28"/>
              </w:rPr>
              <w:t>суспільно-корисних</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робіт</w:t>
            </w:r>
            <w:r w:rsidRPr="006B1308">
              <w:rPr>
                <w:rFonts w:ascii="Times New Roman" w:hAnsi="Times New Roman" w:cs="Times New Roman"/>
                <w:sz w:val="28"/>
                <w:szCs w:val="28"/>
              </w:rPr>
              <w:t>».</w:t>
            </w:r>
          </w:p>
        </w:tc>
      </w:tr>
      <w:tr w14:paraId="354947D3" w14:textId="77777777" w:rsidTr="007A3D40">
        <w:tblPrEx>
          <w:tblW w:w="0" w:type="auto"/>
          <w:tblLook w:val="04A0"/>
        </w:tblPrEx>
        <w:tc>
          <w:tcPr>
            <w:tcW w:w="3227" w:type="dxa"/>
          </w:tcPr>
          <w:p w:rsidR="00EC127B" w:rsidRPr="006B1308" w:rsidP="00EC127B" w14:paraId="38FA2004" w14:textId="77777777">
            <w:pPr>
              <w:rPr>
                <w:rFonts w:ascii="Times New Roman" w:hAnsi="Times New Roman" w:cs="Times New Roman"/>
                <w:sz w:val="28"/>
                <w:szCs w:val="28"/>
              </w:rPr>
            </w:pPr>
            <w:r w:rsidRPr="006B1308">
              <w:rPr>
                <w:rFonts w:ascii="Times New Roman" w:hAnsi="Times New Roman" w:cs="Times New Roman"/>
                <w:sz w:val="28"/>
                <w:szCs w:val="28"/>
              </w:rPr>
              <w:t xml:space="preserve">3.Розробник </w:t>
            </w:r>
            <w:r w:rsidRPr="006B1308">
              <w:rPr>
                <w:rFonts w:ascii="Times New Roman" w:hAnsi="Times New Roman" w:cs="Times New Roman"/>
                <w:sz w:val="28"/>
                <w:szCs w:val="28"/>
              </w:rPr>
              <w:t>Програми</w:t>
            </w:r>
          </w:p>
        </w:tc>
        <w:tc>
          <w:tcPr>
            <w:tcW w:w="6628" w:type="dxa"/>
          </w:tcPr>
          <w:p w:rsidR="00EC127B" w:rsidRPr="006B1308" w:rsidP="00EC127B" w14:paraId="6EAB1B75" w14:textId="77777777">
            <w:pPr>
              <w:rPr>
                <w:rFonts w:ascii="Times New Roman" w:hAnsi="Times New Roman" w:cs="Times New Roman"/>
                <w:sz w:val="28"/>
                <w:szCs w:val="28"/>
                <w:highlight w:val="yellow"/>
              </w:rPr>
            </w:pPr>
            <w:r w:rsidRPr="006B1308">
              <w:rPr>
                <w:rFonts w:ascii="Times New Roman" w:hAnsi="Times New Roman" w:cs="Times New Roman"/>
                <w:sz w:val="28"/>
                <w:szCs w:val="28"/>
              </w:rPr>
              <w:t>Управління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будівництва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житлово</w:t>
            </w:r>
            <w:r w:rsidRPr="006B1308">
              <w:rPr>
                <w:rFonts w:ascii="Times New Roman" w:hAnsi="Times New Roman" w:cs="Times New Roman"/>
                <w:sz w:val="28"/>
                <w:szCs w:val="28"/>
              </w:rPr>
              <w:t xml:space="preserve"> – </w:t>
            </w:r>
            <w:r w:rsidRPr="006B1308">
              <w:rPr>
                <w:rFonts w:ascii="Times New Roman" w:hAnsi="Times New Roman" w:cs="Times New Roman"/>
                <w:sz w:val="28"/>
                <w:szCs w:val="28"/>
              </w:rPr>
              <w:t>комунального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господарства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інфраструктури</w:t>
            </w:r>
            <w:r w:rsidRPr="006B1308">
              <w:rPr>
                <w:rFonts w:ascii="Times New Roman" w:hAnsi="Times New Roman" w:cs="Times New Roman"/>
                <w:sz w:val="28"/>
                <w:szCs w:val="28"/>
              </w:rPr>
              <w:t xml:space="preserve"> та транспорту </w:t>
            </w:r>
            <w:r w:rsidRPr="006B1308">
              <w:rPr>
                <w:rFonts w:ascii="Times New Roman" w:hAnsi="Times New Roman" w:cs="Times New Roman"/>
                <w:sz w:val="28"/>
                <w:szCs w:val="28"/>
              </w:rPr>
              <w:t>Броварської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міської</w:t>
            </w:r>
            <w:r w:rsidRPr="006B1308">
              <w:rPr>
                <w:rFonts w:ascii="Times New Roman" w:hAnsi="Times New Roman" w:cs="Times New Roman"/>
                <w:sz w:val="28"/>
                <w:szCs w:val="28"/>
              </w:rPr>
              <w:t xml:space="preserve"> ради </w:t>
            </w:r>
            <w:r w:rsidRPr="006B1308">
              <w:rPr>
                <w:rFonts w:ascii="Times New Roman" w:hAnsi="Times New Roman" w:cs="Times New Roman"/>
                <w:sz w:val="28"/>
                <w:szCs w:val="28"/>
              </w:rPr>
              <w:t>Броварського</w:t>
            </w:r>
            <w:r w:rsidRPr="006B1308">
              <w:rPr>
                <w:rFonts w:ascii="Times New Roman" w:hAnsi="Times New Roman" w:cs="Times New Roman"/>
                <w:sz w:val="28"/>
                <w:szCs w:val="28"/>
              </w:rPr>
              <w:t xml:space="preserve"> району </w:t>
            </w:r>
            <w:r w:rsidRPr="006B1308">
              <w:rPr>
                <w:rFonts w:ascii="Times New Roman" w:hAnsi="Times New Roman" w:cs="Times New Roman"/>
                <w:sz w:val="28"/>
                <w:szCs w:val="28"/>
              </w:rPr>
              <w:t>Київської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області</w:t>
            </w:r>
            <w:r w:rsidRPr="006B1308">
              <w:rPr>
                <w:rFonts w:ascii="Times New Roman" w:hAnsi="Times New Roman" w:cs="Times New Roman"/>
                <w:sz w:val="28"/>
                <w:szCs w:val="28"/>
              </w:rPr>
              <w:t>.</w:t>
            </w:r>
          </w:p>
        </w:tc>
      </w:tr>
      <w:tr w14:paraId="2664590B" w14:textId="77777777" w:rsidTr="007A3D40">
        <w:tblPrEx>
          <w:tblW w:w="0" w:type="auto"/>
          <w:tblLook w:val="04A0"/>
        </w:tblPrEx>
        <w:tc>
          <w:tcPr>
            <w:tcW w:w="3227" w:type="dxa"/>
          </w:tcPr>
          <w:p w:rsidR="00EC127B" w:rsidRPr="006B1308" w:rsidP="00EC127B" w14:paraId="575527EB" w14:textId="77777777">
            <w:pPr>
              <w:rPr>
                <w:rFonts w:ascii="Times New Roman" w:hAnsi="Times New Roman" w:cs="Times New Roman"/>
                <w:sz w:val="28"/>
                <w:szCs w:val="28"/>
              </w:rPr>
            </w:pPr>
            <w:r w:rsidRPr="006B1308">
              <w:rPr>
                <w:rFonts w:ascii="Times New Roman" w:hAnsi="Times New Roman" w:cs="Times New Roman"/>
                <w:sz w:val="28"/>
                <w:szCs w:val="28"/>
              </w:rPr>
              <w:t>4.УчасникиПрограми</w:t>
            </w:r>
          </w:p>
        </w:tc>
        <w:tc>
          <w:tcPr>
            <w:tcW w:w="6628" w:type="dxa"/>
          </w:tcPr>
          <w:p w:rsidR="00EC127B" w:rsidRPr="006B1308" w:rsidP="00EC127B" w14:paraId="78E93A09" w14:textId="14BB24F4">
            <w:pPr>
              <w:rPr>
                <w:rFonts w:ascii="Times New Roman" w:hAnsi="Times New Roman" w:cs="Times New Roman"/>
                <w:sz w:val="28"/>
                <w:szCs w:val="28"/>
              </w:rPr>
            </w:pPr>
            <w:r w:rsidRPr="006B1308">
              <w:rPr>
                <w:rFonts w:ascii="Times New Roman" w:hAnsi="Times New Roman" w:cs="Times New Roman"/>
                <w:sz w:val="28"/>
                <w:szCs w:val="28"/>
              </w:rPr>
              <w:t>Управління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будівництва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житлово</w:t>
            </w:r>
            <w:r w:rsidRPr="006B1308">
              <w:rPr>
                <w:rFonts w:ascii="Times New Roman" w:hAnsi="Times New Roman" w:cs="Times New Roman"/>
                <w:sz w:val="28"/>
                <w:szCs w:val="28"/>
              </w:rPr>
              <w:t xml:space="preserve"> – </w:t>
            </w:r>
            <w:r w:rsidRPr="006B1308">
              <w:rPr>
                <w:rFonts w:ascii="Times New Roman" w:hAnsi="Times New Roman" w:cs="Times New Roman"/>
                <w:sz w:val="28"/>
                <w:szCs w:val="28"/>
              </w:rPr>
              <w:t>комунального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господарства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інфраструктури</w:t>
            </w:r>
            <w:r w:rsidRPr="006B1308">
              <w:rPr>
                <w:rFonts w:ascii="Times New Roman" w:hAnsi="Times New Roman" w:cs="Times New Roman"/>
                <w:sz w:val="28"/>
                <w:szCs w:val="28"/>
              </w:rPr>
              <w:t xml:space="preserve"> та транспорту </w:t>
            </w:r>
            <w:r w:rsidRPr="006B1308">
              <w:rPr>
                <w:rFonts w:ascii="Times New Roman" w:hAnsi="Times New Roman" w:cs="Times New Roman"/>
                <w:sz w:val="28"/>
                <w:szCs w:val="28"/>
              </w:rPr>
              <w:t>Броварської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міської</w:t>
            </w:r>
            <w:r w:rsidRPr="006B1308">
              <w:rPr>
                <w:rFonts w:ascii="Times New Roman" w:hAnsi="Times New Roman" w:cs="Times New Roman"/>
                <w:sz w:val="28"/>
                <w:szCs w:val="28"/>
              </w:rPr>
              <w:t xml:space="preserve"> ради </w:t>
            </w:r>
            <w:r w:rsidRPr="006B1308">
              <w:rPr>
                <w:rFonts w:ascii="Times New Roman" w:hAnsi="Times New Roman" w:cs="Times New Roman"/>
                <w:sz w:val="28"/>
                <w:szCs w:val="28"/>
              </w:rPr>
              <w:t>Броварського</w:t>
            </w:r>
            <w:r w:rsidRPr="006B1308">
              <w:rPr>
                <w:rFonts w:ascii="Times New Roman" w:hAnsi="Times New Roman" w:cs="Times New Roman"/>
                <w:sz w:val="28"/>
                <w:szCs w:val="28"/>
              </w:rPr>
              <w:t xml:space="preserve"> району </w:t>
            </w:r>
            <w:r w:rsidRPr="006B1308">
              <w:rPr>
                <w:rFonts w:ascii="Times New Roman" w:hAnsi="Times New Roman" w:cs="Times New Roman"/>
                <w:sz w:val="28"/>
                <w:szCs w:val="28"/>
              </w:rPr>
              <w:t>Київської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області</w:t>
            </w:r>
            <w:r w:rsidRPr="006B1308">
              <w:rPr>
                <w:rFonts w:ascii="Times New Roman" w:hAnsi="Times New Roman" w:cs="Times New Roman"/>
                <w:sz w:val="28"/>
                <w:szCs w:val="28"/>
              </w:rPr>
              <w:t>; КП БМР БР КО «ЖЕК-1»; КП БМР БР КО «ЖЕК-2»; КП БМР БР КО «ЖЕК-3»; КП БМР БР КО «ЖЕК-4»; КП БМР БР КО «ЖЕК-5»</w:t>
            </w:r>
          </w:p>
        </w:tc>
      </w:tr>
      <w:tr w14:paraId="0DC634FA" w14:textId="77777777" w:rsidTr="007A3D40">
        <w:tblPrEx>
          <w:tblW w:w="0" w:type="auto"/>
          <w:tblLook w:val="04A0"/>
        </w:tblPrEx>
        <w:tc>
          <w:tcPr>
            <w:tcW w:w="3227" w:type="dxa"/>
          </w:tcPr>
          <w:p w:rsidR="00EC127B" w:rsidRPr="006B1308" w:rsidP="00EC127B" w14:paraId="72B8B284" w14:textId="77777777">
            <w:pPr>
              <w:rPr>
                <w:rFonts w:ascii="Times New Roman" w:hAnsi="Times New Roman" w:cs="Times New Roman"/>
                <w:sz w:val="28"/>
                <w:szCs w:val="28"/>
              </w:rPr>
            </w:pPr>
            <w:r w:rsidRPr="006B1308">
              <w:rPr>
                <w:rFonts w:ascii="Times New Roman" w:hAnsi="Times New Roman" w:cs="Times New Roman"/>
                <w:sz w:val="28"/>
                <w:szCs w:val="28"/>
              </w:rPr>
              <w:t xml:space="preserve">5.Відповідальні </w:t>
            </w:r>
            <w:r w:rsidRPr="006B1308">
              <w:rPr>
                <w:rFonts w:ascii="Times New Roman" w:hAnsi="Times New Roman" w:cs="Times New Roman"/>
                <w:sz w:val="28"/>
                <w:szCs w:val="28"/>
              </w:rPr>
              <w:t>виконавці</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Програми</w:t>
            </w:r>
          </w:p>
        </w:tc>
        <w:tc>
          <w:tcPr>
            <w:tcW w:w="6628" w:type="dxa"/>
          </w:tcPr>
          <w:p w:rsidR="00EC127B" w:rsidRPr="006B1308" w:rsidP="00EC127B" w14:paraId="32A562A5" w14:textId="77777777">
            <w:pPr>
              <w:rPr>
                <w:rFonts w:ascii="Times New Roman" w:hAnsi="Times New Roman" w:cs="Times New Roman"/>
                <w:sz w:val="28"/>
                <w:szCs w:val="28"/>
              </w:rPr>
            </w:pPr>
            <w:r w:rsidRPr="006B1308">
              <w:rPr>
                <w:rFonts w:ascii="Times New Roman" w:hAnsi="Times New Roman" w:cs="Times New Roman"/>
                <w:sz w:val="28"/>
                <w:szCs w:val="28"/>
              </w:rPr>
              <w:t>Управління</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будівництва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житлово</w:t>
            </w:r>
            <w:r w:rsidRPr="006B1308">
              <w:rPr>
                <w:rFonts w:ascii="Times New Roman" w:hAnsi="Times New Roman" w:cs="Times New Roman"/>
                <w:sz w:val="28"/>
                <w:szCs w:val="28"/>
              </w:rPr>
              <w:t xml:space="preserve"> – </w:t>
            </w:r>
            <w:r w:rsidRPr="006B1308">
              <w:rPr>
                <w:rFonts w:ascii="Times New Roman" w:hAnsi="Times New Roman" w:cs="Times New Roman"/>
                <w:sz w:val="28"/>
                <w:szCs w:val="28"/>
              </w:rPr>
              <w:t>комунального</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господарства</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інфраструктури</w:t>
            </w:r>
            <w:r w:rsidRPr="006B1308">
              <w:rPr>
                <w:rFonts w:ascii="Times New Roman" w:hAnsi="Times New Roman" w:cs="Times New Roman"/>
                <w:sz w:val="28"/>
                <w:szCs w:val="28"/>
              </w:rPr>
              <w:t xml:space="preserve"> та транспорту </w:t>
            </w:r>
            <w:r w:rsidRPr="006B1308">
              <w:rPr>
                <w:rFonts w:ascii="Times New Roman" w:hAnsi="Times New Roman" w:cs="Times New Roman"/>
                <w:sz w:val="28"/>
                <w:szCs w:val="28"/>
              </w:rPr>
              <w:t>Броварської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міської</w:t>
            </w:r>
            <w:r w:rsidRPr="006B1308">
              <w:rPr>
                <w:rFonts w:ascii="Times New Roman" w:hAnsi="Times New Roman" w:cs="Times New Roman"/>
                <w:sz w:val="28"/>
                <w:szCs w:val="28"/>
              </w:rPr>
              <w:t xml:space="preserve"> ради </w:t>
            </w:r>
            <w:r w:rsidRPr="006B1308">
              <w:rPr>
                <w:rFonts w:ascii="Times New Roman" w:hAnsi="Times New Roman" w:cs="Times New Roman"/>
                <w:sz w:val="28"/>
                <w:szCs w:val="28"/>
              </w:rPr>
              <w:t>Броварського</w:t>
            </w:r>
            <w:r w:rsidRPr="006B1308">
              <w:rPr>
                <w:rFonts w:ascii="Times New Roman" w:hAnsi="Times New Roman" w:cs="Times New Roman"/>
                <w:sz w:val="28"/>
                <w:szCs w:val="28"/>
              </w:rPr>
              <w:t xml:space="preserve"> району </w:t>
            </w:r>
            <w:r w:rsidRPr="006B1308">
              <w:rPr>
                <w:rFonts w:ascii="Times New Roman" w:hAnsi="Times New Roman" w:cs="Times New Roman"/>
                <w:sz w:val="28"/>
                <w:szCs w:val="28"/>
              </w:rPr>
              <w:t>Київської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області</w:t>
            </w:r>
            <w:r w:rsidRPr="006B1308">
              <w:rPr>
                <w:rFonts w:ascii="Times New Roman" w:hAnsi="Times New Roman" w:cs="Times New Roman"/>
                <w:sz w:val="28"/>
                <w:szCs w:val="28"/>
              </w:rPr>
              <w:t>; КП БМР БР КО «ЖЕК-1»; КП БМР БР КО «ЖЕК-2»; КП БМР БР КО «ЖЕК-3»; КП БМР БР КО «ЖЕК-4»; КП БМР БР КО «ЖЕК-5»</w:t>
            </w:r>
          </w:p>
        </w:tc>
      </w:tr>
      <w:tr w14:paraId="474673F9" w14:textId="77777777" w:rsidTr="007A3D40">
        <w:tblPrEx>
          <w:tblW w:w="0" w:type="auto"/>
          <w:tblLook w:val="04A0"/>
        </w:tblPrEx>
        <w:tc>
          <w:tcPr>
            <w:tcW w:w="3227" w:type="dxa"/>
          </w:tcPr>
          <w:p w:rsidR="00EC127B" w:rsidRPr="006B1308" w:rsidP="00EC127B" w14:paraId="07EB16EB" w14:textId="77777777">
            <w:pPr>
              <w:rPr>
                <w:rFonts w:ascii="Times New Roman" w:hAnsi="Times New Roman" w:cs="Times New Roman"/>
                <w:sz w:val="28"/>
                <w:szCs w:val="28"/>
              </w:rPr>
            </w:pPr>
            <w:r w:rsidRPr="006B1308">
              <w:rPr>
                <w:rFonts w:ascii="Times New Roman" w:hAnsi="Times New Roman" w:cs="Times New Roman"/>
                <w:sz w:val="28"/>
                <w:szCs w:val="28"/>
              </w:rPr>
              <w:t xml:space="preserve">6. </w:t>
            </w:r>
            <w:r w:rsidRPr="006B1308">
              <w:rPr>
                <w:rFonts w:ascii="Times New Roman" w:hAnsi="Times New Roman" w:cs="Times New Roman"/>
                <w:sz w:val="28"/>
                <w:szCs w:val="28"/>
              </w:rPr>
              <w:t>Дії</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Програми</w:t>
            </w:r>
          </w:p>
        </w:tc>
        <w:tc>
          <w:tcPr>
            <w:tcW w:w="6628" w:type="dxa"/>
          </w:tcPr>
          <w:p w:rsidR="00EC127B" w:rsidRPr="006B1308" w:rsidP="00EC127B" w14:paraId="60DADC68" w14:textId="77777777">
            <w:pPr>
              <w:rPr>
                <w:rFonts w:ascii="Times New Roman" w:hAnsi="Times New Roman" w:cs="Times New Roman"/>
                <w:sz w:val="28"/>
                <w:szCs w:val="28"/>
              </w:rPr>
            </w:pPr>
            <w:r w:rsidRPr="006B1308">
              <w:rPr>
                <w:rFonts w:ascii="Times New Roman" w:hAnsi="Times New Roman" w:cs="Times New Roman"/>
                <w:sz w:val="28"/>
                <w:szCs w:val="28"/>
              </w:rPr>
              <w:t>2023-2027 роки</w:t>
            </w:r>
          </w:p>
        </w:tc>
      </w:tr>
      <w:tr w14:paraId="5A100FC1" w14:textId="77777777" w:rsidTr="007A3D40">
        <w:tblPrEx>
          <w:tblW w:w="0" w:type="auto"/>
          <w:tblLook w:val="04A0"/>
        </w:tblPrEx>
        <w:tc>
          <w:tcPr>
            <w:tcW w:w="3227" w:type="dxa"/>
          </w:tcPr>
          <w:p w:rsidR="00EC127B" w:rsidRPr="006B1308" w:rsidP="00EC127B" w14:paraId="74DBEA66" w14:textId="77777777">
            <w:pPr>
              <w:rPr>
                <w:rFonts w:ascii="Times New Roman" w:hAnsi="Times New Roman" w:cs="Times New Roman"/>
                <w:sz w:val="28"/>
                <w:szCs w:val="28"/>
              </w:rPr>
            </w:pPr>
            <w:r w:rsidRPr="006B1308">
              <w:rPr>
                <w:rFonts w:ascii="Times New Roman" w:hAnsi="Times New Roman" w:cs="Times New Roman"/>
                <w:color w:val="000000"/>
                <w:sz w:val="28"/>
                <w:szCs w:val="28"/>
              </w:rPr>
              <w:t xml:space="preserve">7. </w:t>
            </w:r>
            <w:r w:rsidRPr="006B1308">
              <w:rPr>
                <w:rFonts w:ascii="Times New Roman" w:hAnsi="Times New Roman" w:cs="Times New Roman"/>
                <w:color w:val="000000"/>
                <w:sz w:val="28"/>
                <w:szCs w:val="28"/>
              </w:rPr>
              <w:t>Перелік</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бюджетів</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що</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беруть</w:t>
            </w:r>
            <w:r w:rsidRPr="006B1308">
              <w:rPr>
                <w:rFonts w:ascii="Times New Roman" w:hAnsi="Times New Roman" w:cs="Times New Roman"/>
                <w:color w:val="000000"/>
                <w:sz w:val="28"/>
                <w:szCs w:val="28"/>
              </w:rPr>
              <w:t xml:space="preserve"> участь у </w:t>
            </w:r>
            <w:r w:rsidRPr="006B1308">
              <w:rPr>
                <w:rFonts w:ascii="Times New Roman" w:hAnsi="Times New Roman" w:cs="Times New Roman"/>
                <w:color w:val="000000"/>
                <w:sz w:val="28"/>
                <w:szCs w:val="28"/>
              </w:rPr>
              <w:t>виконанні</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Програми</w:t>
            </w:r>
          </w:p>
        </w:tc>
        <w:tc>
          <w:tcPr>
            <w:tcW w:w="6628" w:type="dxa"/>
          </w:tcPr>
          <w:p w:rsidR="00EC127B" w:rsidRPr="006B1308" w:rsidP="00EC127B" w14:paraId="33BC4E2E" w14:textId="77777777">
            <w:pPr>
              <w:rPr>
                <w:rFonts w:ascii="Times New Roman" w:hAnsi="Times New Roman" w:cs="Times New Roman"/>
                <w:sz w:val="28"/>
                <w:szCs w:val="28"/>
              </w:rPr>
            </w:pPr>
            <w:r w:rsidRPr="006B1308">
              <w:rPr>
                <w:rFonts w:ascii="Times New Roman" w:hAnsi="Times New Roman" w:cs="Times New Roman"/>
                <w:sz w:val="28"/>
                <w:szCs w:val="28"/>
              </w:rPr>
              <w:t>Кошти</w:t>
            </w:r>
            <w:r w:rsidRPr="006B1308">
              <w:rPr>
                <w:rFonts w:ascii="Times New Roman" w:hAnsi="Times New Roman" w:cs="Times New Roman"/>
                <w:sz w:val="28"/>
                <w:szCs w:val="28"/>
              </w:rPr>
              <w:t xml:space="preserve"> </w:t>
            </w:r>
            <w:r w:rsidRPr="006B1308">
              <w:rPr>
                <w:rFonts w:ascii="Times New Roman" w:hAnsi="Times New Roman" w:cs="Times New Roman"/>
                <w:sz w:val="28"/>
                <w:szCs w:val="28"/>
              </w:rPr>
              <w:t>місцевого</w:t>
            </w:r>
            <w:r w:rsidRPr="006B1308">
              <w:rPr>
                <w:rFonts w:ascii="Times New Roman" w:hAnsi="Times New Roman" w:cs="Times New Roman"/>
                <w:sz w:val="28"/>
                <w:szCs w:val="28"/>
              </w:rPr>
              <w:t xml:space="preserve"> бюджету </w:t>
            </w:r>
          </w:p>
        </w:tc>
      </w:tr>
      <w:tr w14:paraId="6E07F718" w14:textId="77777777" w:rsidTr="007A3D40">
        <w:tblPrEx>
          <w:tblW w:w="0" w:type="auto"/>
          <w:tblLook w:val="04A0"/>
        </w:tblPrEx>
        <w:tc>
          <w:tcPr>
            <w:tcW w:w="3227" w:type="dxa"/>
          </w:tcPr>
          <w:p w:rsidR="00EC127B" w:rsidRPr="006B1308" w:rsidP="00EC127B" w14:paraId="35393F2C" w14:textId="77777777">
            <w:pPr>
              <w:rPr>
                <w:rFonts w:ascii="Times New Roman" w:hAnsi="Times New Roman" w:cs="Times New Roman"/>
                <w:color w:val="000000"/>
                <w:sz w:val="28"/>
                <w:szCs w:val="28"/>
              </w:rPr>
            </w:pPr>
            <w:r w:rsidRPr="006B1308">
              <w:rPr>
                <w:rFonts w:ascii="Times New Roman" w:hAnsi="Times New Roman" w:cs="Times New Roman"/>
                <w:color w:val="000000"/>
                <w:sz w:val="28"/>
                <w:szCs w:val="28"/>
              </w:rPr>
              <w:t xml:space="preserve">8. </w:t>
            </w:r>
            <w:r w:rsidRPr="006B1308">
              <w:rPr>
                <w:rFonts w:ascii="Times New Roman" w:hAnsi="Times New Roman" w:cs="Times New Roman"/>
                <w:color w:val="000000"/>
                <w:sz w:val="28"/>
                <w:szCs w:val="28"/>
              </w:rPr>
              <w:t>Загальний</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обсяг</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фінансових</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ресурсів</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необхідних</w:t>
            </w:r>
            <w:r w:rsidRPr="006B1308">
              <w:rPr>
                <w:rFonts w:ascii="Times New Roman" w:hAnsi="Times New Roman" w:cs="Times New Roman"/>
                <w:color w:val="000000"/>
                <w:sz w:val="28"/>
                <w:szCs w:val="28"/>
              </w:rPr>
              <w:t xml:space="preserve"> для </w:t>
            </w:r>
            <w:r w:rsidRPr="006B1308">
              <w:rPr>
                <w:rFonts w:ascii="Times New Roman" w:hAnsi="Times New Roman" w:cs="Times New Roman"/>
                <w:color w:val="000000"/>
                <w:sz w:val="28"/>
                <w:szCs w:val="28"/>
              </w:rPr>
              <w:t>реалізації</w:t>
            </w:r>
            <w:r w:rsidRPr="006B1308">
              <w:rPr>
                <w:rFonts w:ascii="Times New Roman" w:hAnsi="Times New Roman" w:cs="Times New Roman"/>
                <w:color w:val="000000"/>
                <w:sz w:val="28"/>
                <w:szCs w:val="28"/>
              </w:rPr>
              <w:t xml:space="preserve"> </w:t>
            </w:r>
            <w:r w:rsidRPr="006B1308">
              <w:rPr>
                <w:rFonts w:ascii="Times New Roman" w:hAnsi="Times New Roman" w:cs="Times New Roman"/>
                <w:color w:val="000000"/>
                <w:sz w:val="28"/>
                <w:szCs w:val="28"/>
              </w:rPr>
              <w:t>Програми</w:t>
            </w:r>
            <w:r w:rsidRPr="006B1308">
              <w:rPr>
                <w:rFonts w:ascii="Times New Roman" w:hAnsi="Times New Roman" w:cs="Times New Roman"/>
                <w:color w:val="000000"/>
                <w:sz w:val="28"/>
                <w:szCs w:val="28"/>
              </w:rPr>
              <w:t>:</w:t>
            </w:r>
          </w:p>
          <w:p w:rsidR="00EC127B" w:rsidRPr="006B1308" w:rsidP="00EC127B" w14:paraId="70394F93" w14:textId="77777777">
            <w:pPr>
              <w:rPr>
                <w:rFonts w:ascii="Times New Roman" w:hAnsi="Times New Roman" w:cs="Times New Roman"/>
                <w:sz w:val="28"/>
                <w:szCs w:val="28"/>
              </w:rPr>
            </w:pPr>
          </w:p>
        </w:tc>
        <w:tc>
          <w:tcPr>
            <w:tcW w:w="6628" w:type="dxa"/>
          </w:tcPr>
          <w:p w:rsidR="00EC127B" w:rsidRPr="006B1308" w:rsidP="00EC127B" w14:paraId="61AEBD60" w14:textId="77777777">
            <w:pPr>
              <w:pStyle w:val="NormalWeb"/>
              <w:spacing w:before="0" w:beforeAutospacing="0" w:after="0" w:afterAutospacing="0"/>
              <w:contextualSpacing/>
              <w:rPr>
                <w:b/>
                <w:bCs/>
                <w:color w:val="000000"/>
                <w:sz w:val="28"/>
                <w:szCs w:val="28"/>
              </w:rPr>
            </w:pPr>
            <w:r w:rsidRPr="006B1308">
              <w:rPr>
                <w:b/>
                <w:bCs/>
                <w:color w:val="000000"/>
                <w:sz w:val="28"/>
                <w:szCs w:val="28"/>
              </w:rPr>
              <w:t>Всього</w:t>
            </w:r>
            <w:r w:rsidRPr="006B1308">
              <w:rPr>
                <w:b/>
                <w:bCs/>
                <w:color w:val="000000"/>
                <w:sz w:val="28"/>
                <w:szCs w:val="28"/>
              </w:rPr>
              <w:t xml:space="preserve"> - 750,0 тис. </w:t>
            </w:r>
            <w:r w:rsidRPr="006B1308">
              <w:rPr>
                <w:b/>
                <w:bCs/>
                <w:color w:val="000000"/>
                <w:sz w:val="28"/>
                <w:szCs w:val="28"/>
              </w:rPr>
              <w:t>грн</w:t>
            </w:r>
            <w:r w:rsidRPr="006B1308">
              <w:rPr>
                <w:b/>
                <w:bCs/>
                <w:color w:val="000000"/>
                <w:sz w:val="28"/>
                <w:szCs w:val="28"/>
              </w:rPr>
              <w:t>:</w:t>
            </w:r>
          </w:p>
          <w:p w:rsidR="00EC127B" w:rsidRPr="006B1308" w:rsidP="00EC127B" w14:paraId="07A3F933" w14:textId="77777777">
            <w:pPr>
              <w:pStyle w:val="NormalWeb"/>
              <w:spacing w:before="0" w:beforeAutospacing="0" w:after="0" w:afterAutospacing="0"/>
              <w:contextualSpacing/>
              <w:rPr>
                <w:sz w:val="28"/>
                <w:szCs w:val="28"/>
              </w:rPr>
            </w:pPr>
            <w:r w:rsidRPr="006B1308">
              <w:rPr>
                <w:sz w:val="28"/>
                <w:szCs w:val="28"/>
              </w:rPr>
              <w:t xml:space="preserve">2023 </w:t>
            </w:r>
            <w:r w:rsidRPr="006B1308">
              <w:rPr>
                <w:sz w:val="28"/>
                <w:szCs w:val="28"/>
              </w:rPr>
              <w:t>рік</w:t>
            </w:r>
            <w:r w:rsidRPr="006B1308">
              <w:rPr>
                <w:sz w:val="28"/>
                <w:szCs w:val="28"/>
              </w:rPr>
              <w:t xml:space="preserve"> – 150,0 тис. </w:t>
            </w:r>
            <w:r w:rsidRPr="006B1308">
              <w:rPr>
                <w:sz w:val="28"/>
                <w:szCs w:val="28"/>
              </w:rPr>
              <w:t>грн</w:t>
            </w:r>
          </w:p>
          <w:p w:rsidR="00EC127B" w:rsidRPr="006B1308" w:rsidP="00EC127B" w14:paraId="389BCD87" w14:textId="77777777">
            <w:pPr>
              <w:pStyle w:val="NormalWeb"/>
              <w:spacing w:before="0" w:beforeAutospacing="0" w:after="0" w:afterAutospacing="0"/>
              <w:contextualSpacing/>
              <w:rPr>
                <w:sz w:val="28"/>
                <w:szCs w:val="28"/>
              </w:rPr>
            </w:pPr>
            <w:r w:rsidRPr="006B1308">
              <w:rPr>
                <w:sz w:val="28"/>
                <w:szCs w:val="28"/>
              </w:rPr>
              <w:t xml:space="preserve">2024 </w:t>
            </w:r>
            <w:r w:rsidRPr="006B1308">
              <w:rPr>
                <w:sz w:val="28"/>
                <w:szCs w:val="28"/>
              </w:rPr>
              <w:t>рік</w:t>
            </w:r>
            <w:r w:rsidRPr="006B1308">
              <w:rPr>
                <w:sz w:val="28"/>
                <w:szCs w:val="28"/>
              </w:rPr>
              <w:t xml:space="preserve"> –150,0 тис. </w:t>
            </w:r>
            <w:r w:rsidRPr="006B1308">
              <w:rPr>
                <w:sz w:val="28"/>
                <w:szCs w:val="28"/>
              </w:rPr>
              <w:t>грн</w:t>
            </w:r>
          </w:p>
          <w:p w:rsidR="00EC127B" w:rsidRPr="006B1308" w:rsidP="00EC127B" w14:paraId="4C289021" w14:textId="77777777">
            <w:pPr>
              <w:pStyle w:val="NormalWeb"/>
              <w:spacing w:before="0" w:beforeAutospacing="0" w:after="0" w:afterAutospacing="0"/>
              <w:contextualSpacing/>
              <w:rPr>
                <w:sz w:val="28"/>
                <w:szCs w:val="28"/>
              </w:rPr>
            </w:pPr>
            <w:r w:rsidRPr="006B1308">
              <w:rPr>
                <w:sz w:val="28"/>
                <w:szCs w:val="28"/>
              </w:rPr>
              <w:t xml:space="preserve">2025 </w:t>
            </w:r>
            <w:r w:rsidRPr="006B1308">
              <w:rPr>
                <w:sz w:val="28"/>
                <w:szCs w:val="28"/>
              </w:rPr>
              <w:t>рік</w:t>
            </w:r>
            <w:r w:rsidRPr="006B1308">
              <w:rPr>
                <w:sz w:val="28"/>
                <w:szCs w:val="28"/>
              </w:rPr>
              <w:t xml:space="preserve"> – 150,0 тис. </w:t>
            </w:r>
            <w:r w:rsidRPr="006B1308">
              <w:rPr>
                <w:sz w:val="28"/>
                <w:szCs w:val="28"/>
              </w:rPr>
              <w:t>грн</w:t>
            </w:r>
          </w:p>
          <w:p w:rsidR="00EC127B" w:rsidRPr="006B1308" w:rsidP="00EC127B" w14:paraId="4B2E24E5" w14:textId="77777777">
            <w:pPr>
              <w:pStyle w:val="NormalWeb"/>
              <w:spacing w:before="0" w:beforeAutospacing="0" w:after="0" w:afterAutospacing="0"/>
              <w:contextualSpacing/>
              <w:rPr>
                <w:sz w:val="28"/>
                <w:szCs w:val="28"/>
              </w:rPr>
            </w:pPr>
            <w:r w:rsidRPr="006B1308">
              <w:rPr>
                <w:sz w:val="28"/>
                <w:szCs w:val="28"/>
              </w:rPr>
              <w:t xml:space="preserve">2026 </w:t>
            </w:r>
            <w:r w:rsidRPr="006B1308">
              <w:rPr>
                <w:sz w:val="28"/>
                <w:szCs w:val="28"/>
              </w:rPr>
              <w:t>рік</w:t>
            </w:r>
            <w:r w:rsidRPr="006B1308">
              <w:rPr>
                <w:sz w:val="28"/>
                <w:szCs w:val="28"/>
              </w:rPr>
              <w:t xml:space="preserve"> – 150,0 тис. </w:t>
            </w:r>
            <w:r w:rsidRPr="006B1308">
              <w:rPr>
                <w:sz w:val="28"/>
                <w:szCs w:val="28"/>
              </w:rPr>
              <w:t>грн</w:t>
            </w:r>
          </w:p>
          <w:p w:rsidR="00EC127B" w:rsidRPr="006B1308" w:rsidP="00EC127B" w14:paraId="444A360A" w14:textId="77777777">
            <w:pPr>
              <w:pStyle w:val="NormalWeb"/>
              <w:spacing w:before="0" w:beforeAutospacing="0" w:after="0" w:afterAutospacing="0"/>
              <w:contextualSpacing/>
              <w:rPr>
                <w:sz w:val="28"/>
                <w:szCs w:val="28"/>
              </w:rPr>
            </w:pPr>
            <w:r w:rsidRPr="006B1308">
              <w:rPr>
                <w:sz w:val="28"/>
                <w:szCs w:val="28"/>
              </w:rPr>
              <w:t xml:space="preserve">2027 </w:t>
            </w:r>
            <w:r w:rsidRPr="006B1308">
              <w:rPr>
                <w:sz w:val="28"/>
                <w:szCs w:val="28"/>
              </w:rPr>
              <w:t>рік</w:t>
            </w:r>
            <w:r w:rsidRPr="006B1308">
              <w:rPr>
                <w:sz w:val="28"/>
                <w:szCs w:val="28"/>
              </w:rPr>
              <w:t xml:space="preserve"> – 150,0 тис. </w:t>
            </w:r>
            <w:r w:rsidRPr="006B1308">
              <w:rPr>
                <w:sz w:val="28"/>
                <w:szCs w:val="28"/>
              </w:rPr>
              <w:t>грн</w:t>
            </w:r>
          </w:p>
        </w:tc>
      </w:tr>
    </w:tbl>
    <w:p w:rsidR="00EC127B" w:rsidRPr="00EC127B" w:rsidP="00EC127B" w14:paraId="429F4F47" w14:textId="77777777">
      <w:pPr>
        <w:spacing w:after="0" w:line="240" w:lineRule="auto"/>
        <w:jc w:val="center"/>
        <w:rPr>
          <w:rFonts w:ascii="Times New Roman" w:hAnsi="Times New Roman" w:cs="Times New Roman"/>
          <w:b/>
          <w:sz w:val="28"/>
          <w:szCs w:val="28"/>
        </w:rPr>
      </w:pPr>
    </w:p>
    <w:p w:rsidR="00EC127B" w:rsidRPr="00EC127B" w:rsidP="00EC127B" w14:paraId="74B11E7F" w14:textId="77777777">
      <w:pPr>
        <w:spacing w:after="0" w:line="240" w:lineRule="auto"/>
        <w:jc w:val="center"/>
        <w:rPr>
          <w:rFonts w:ascii="Times New Roman" w:hAnsi="Times New Roman" w:cs="Times New Roman"/>
          <w:b/>
          <w:sz w:val="28"/>
          <w:szCs w:val="28"/>
        </w:rPr>
      </w:pPr>
      <w:r w:rsidRPr="00EC127B">
        <w:rPr>
          <w:rFonts w:ascii="Times New Roman" w:hAnsi="Times New Roman" w:cs="Times New Roman"/>
          <w:b/>
          <w:sz w:val="28"/>
          <w:szCs w:val="28"/>
        </w:rPr>
        <w:t>1.Вступ</w:t>
      </w:r>
    </w:p>
    <w:p w:rsidR="00EC127B" w:rsidRPr="00EC127B" w:rsidP="00EC127B" w14:paraId="49EBE7D2" w14:textId="77777777">
      <w:pPr>
        <w:spacing w:after="0" w:line="240" w:lineRule="auto"/>
        <w:jc w:val="center"/>
        <w:rPr>
          <w:rFonts w:ascii="Times New Roman" w:hAnsi="Times New Roman" w:cs="Times New Roman"/>
          <w:b/>
          <w:sz w:val="28"/>
          <w:szCs w:val="28"/>
        </w:rPr>
      </w:pPr>
    </w:p>
    <w:p w:rsidR="00EC127B" w:rsidRPr="00EC127B" w:rsidP="00EC127B" w14:paraId="7A293C87" w14:textId="77777777">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hAnsi="Times New Roman" w:cs="Times New Roman"/>
          <w:sz w:val="28"/>
          <w:szCs w:val="28"/>
        </w:rPr>
      </w:pPr>
      <w:r w:rsidRPr="00EC127B">
        <w:rPr>
          <w:rFonts w:ascii="Times New Roman" w:hAnsi="Times New Roman" w:cs="Times New Roman"/>
          <w:bCs/>
          <w:color w:val="000000"/>
          <w:sz w:val="28"/>
          <w:szCs w:val="28"/>
        </w:rPr>
        <w:t>Програма організації суспільно корисних робіт для порушників, на яких судом накладено адміністративне стягнення у вигляді виконання суспільно корисних робіт на 2023-2027 роки</w:t>
      </w:r>
      <w:r w:rsidRPr="00EC127B">
        <w:rPr>
          <w:rFonts w:ascii="Times New Roman" w:hAnsi="Times New Roman" w:cs="Times New Roman"/>
          <w:sz w:val="28"/>
          <w:szCs w:val="28"/>
        </w:rPr>
        <w:t xml:space="preserve"> (далі за текстом – Програма) розроблена відповідно до положень Законів України «Про місцеве самоврядування в Україні»,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наказу Міністерства юстиції України від 19.03.2013 № 474/5 «Про затвердження Порядку виконання адміністративних стягнень у вигляді громадських робіт, виправних робіт та суспільно-корисних робіт». </w:t>
      </w:r>
    </w:p>
    <w:p w:rsidR="00EC127B" w:rsidRPr="00EC127B" w:rsidP="00EC127B" w14:paraId="1B03EDB3" w14:textId="77777777">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hAnsi="Times New Roman" w:cs="Times New Roman"/>
          <w:bCs/>
          <w:sz w:val="28"/>
          <w:szCs w:val="28"/>
        </w:rPr>
      </w:pPr>
      <w:r w:rsidRPr="00EC127B">
        <w:rPr>
          <w:rFonts w:ascii="Times New Roman" w:hAnsi="Times New Roman" w:cs="Times New Roman"/>
          <w:sz w:val="28"/>
          <w:szCs w:val="28"/>
        </w:rPr>
        <w:t xml:space="preserve">Відповідно до статей 25, 26, 59 України «Про місцеве самоврядування в Україні», Закону України від 07.12.2017 року №2234-VIII «Про внесення змін до деяких законодавчих актів України щодо посилення захисту прав дитини на належне утримання шляхом вдосконалення порядку примусового стягнення заборгованості зі сплати аліментів», на виконання статей 31-1, 325-1, 325-4 Кодексу України про адміністративні правопорушення в інтересах захисту прав дітей на утримання організовуються оплачувані суспільно корисні роботи, для осіб на яких судом призначено стягнення покарання у вигляді суспільно корисних робіт. 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w:t>
      </w:r>
      <w:r w:rsidRPr="00EC127B">
        <w:rPr>
          <w:rFonts w:ascii="Times New Roman" w:hAnsi="Times New Roman" w:cs="Times New Roman"/>
          <w:bCs/>
          <w:sz w:val="28"/>
          <w:szCs w:val="28"/>
        </w:rPr>
        <w:t xml:space="preserve">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rsidR="00EC127B" w:rsidRPr="00EC127B" w:rsidP="00EC127B" w14:paraId="00C299D0" w14:textId="77777777">
      <w:pPr>
        <w:pStyle w:val="docdata"/>
        <w:shd w:val="clear" w:color="auto" w:fill="FFFFFF"/>
        <w:spacing w:before="0" w:beforeAutospacing="0" w:after="0" w:afterAutospacing="0"/>
        <w:ind w:firstLine="708"/>
        <w:jc w:val="both"/>
        <w:rPr>
          <w:color w:val="000000"/>
          <w:sz w:val="28"/>
          <w:szCs w:val="28"/>
        </w:rPr>
      </w:pPr>
      <w:r w:rsidRPr="00EC127B">
        <w:rPr>
          <w:color w:val="000000"/>
          <w:sz w:val="28"/>
          <w:szCs w:val="28"/>
        </w:rPr>
        <w:t>У зв’язку з цим,  є необхідність в прийнятті Програми організації суспільно корисних робіт для порушників, на яких судом накладено адміністративне стягнення у вигляді виконання суспільно корисних робіт, в якій затвердити види суспільно корисних робіт та перелік об’єктів, підприємств, установ і організацій, на яких проводитимуться оплачувані суспільно корисні роботи за рахунок фінансування коштів місцевого бюджету.</w:t>
      </w:r>
    </w:p>
    <w:p w:rsidR="00EC127B" w:rsidRPr="00EC127B" w:rsidP="00EC127B" w14:paraId="4493735D" w14:textId="77777777">
      <w:pPr>
        <w:pStyle w:val="NormalWeb"/>
        <w:shd w:val="clear" w:color="auto" w:fill="FFFFFF"/>
        <w:spacing w:before="0" w:beforeAutospacing="0" w:after="0" w:afterAutospacing="0"/>
        <w:ind w:firstLine="709"/>
        <w:jc w:val="both"/>
        <w:rPr>
          <w:color w:val="000000"/>
          <w:sz w:val="28"/>
          <w:szCs w:val="28"/>
        </w:rPr>
      </w:pPr>
    </w:p>
    <w:p w:rsidR="00EC127B" w:rsidRPr="00EC127B" w:rsidP="00EC127B" w14:paraId="67BD9678" w14:textId="780EC096">
      <w:pPr>
        <w:pStyle w:val="NormalWeb"/>
        <w:shd w:val="clear" w:color="auto" w:fill="FFFFFF"/>
        <w:spacing w:before="0" w:beforeAutospacing="0" w:after="0" w:afterAutospacing="0"/>
        <w:jc w:val="center"/>
        <w:rPr>
          <w:b/>
          <w:sz w:val="28"/>
          <w:szCs w:val="28"/>
        </w:rPr>
      </w:pPr>
      <w:bookmarkStart w:id="1" w:name="_GoBack"/>
      <w:bookmarkEnd w:id="1"/>
      <w:r w:rsidRPr="00EC127B">
        <w:rPr>
          <w:b/>
          <w:color w:val="000000"/>
          <w:sz w:val="28"/>
          <w:szCs w:val="28"/>
        </w:rPr>
        <w:t>2.Мета програми</w:t>
      </w:r>
    </w:p>
    <w:p w:rsidR="00EC127B" w:rsidRPr="00EC127B" w:rsidP="00EC127B" w14:paraId="6F425D2C" w14:textId="77777777">
      <w:pPr>
        <w:pStyle w:val="NormalWeb"/>
        <w:shd w:val="clear" w:color="auto" w:fill="FFFFFF"/>
        <w:spacing w:before="0" w:beforeAutospacing="0" w:after="0" w:afterAutospacing="0"/>
        <w:ind w:firstLine="709"/>
        <w:jc w:val="center"/>
        <w:rPr>
          <w:sz w:val="28"/>
          <w:szCs w:val="28"/>
        </w:rPr>
      </w:pPr>
      <w:r w:rsidRPr="00EC127B">
        <w:rPr>
          <w:sz w:val="28"/>
          <w:szCs w:val="28"/>
        </w:rPr>
        <w:t> </w:t>
      </w:r>
    </w:p>
    <w:p w:rsidR="00EC127B" w:rsidRPr="00EC127B" w:rsidP="00EC127B" w14:paraId="5FFD4A2F" w14:textId="77777777">
      <w:pPr>
        <w:shd w:val="clear" w:color="auto" w:fill="FFFFFF"/>
        <w:tabs>
          <w:tab w:val="left" w:pos="1134"/>
        </w:tabs>
        <w:spacing w:after="0" w:line="240" w:lineRule="auto"/>
        <w:ind w:firstLine="851"/>
        <w:jc w:val="both"/>
        <w:rPr>
          <w:rFonts w:ascii="Times New Roman" w:hAnsi="Times New Roman" w:cs="Times New Roman"/>
          <w:sz w:val="28"/>
          <w:szCs w:val="28"/>
        </w:rPr>
      </w:pPr>
      <w:r w:rsidRPr="00EC127B">
        <w:rPr>
          <w:rFonts w:ascii="Times New Roman" w:hAnsi="Times New Roman" w:cs="Times New Roman"/>
          <w:sz w:val="28"/>
          <w:szCs w:val="28"/>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та посилити соціальний розвиток Броварської міської територіальної громади Броварського району у сфері благоустрою. </w:t>
      </w:r>
    </w:p>
    <w:p w:rsidR="00EC127B" w:rsidRPr="00EC127B" w:rsidP="00EC127B" w14:paraId="1313C7D1" w14:textId="77777777">
      <w:pPr>
        <w:pStyle w:val="docdata"/>
        <w:shd w:val="clear" w:color="auto" w:fill="FFFFFF"/>
        <w:spacing w:before="0" w:beforeAutospacing="0" w:after="0" w:afterAutospacing="0"/>
        <w:ind w:firstLine="708"/>
        <w:jc w:val="both"/>
        <w:rPr>
          <w:color w:val="000000"/>
          <w:sz w:val="28"/>
          <w:szCs w:val="28"/>
        </w:rPr>
      </w:pPr>
    </w:p>
    <w:p w:rsidR="00EC127B" w:rsidRPr="00EC127B" w:rsidP="00EC127B" w14:paraId="78E54F20" w14:textId="77777777">
      <w:pPr>
        <w:pStyle w:val="docdata"/>
        <w:shd w:val="clear" w:color="auto" w:fill="FFFFFF"/>
        <w:spacing w:before="0" w:beforeAutospacing="0" w:after="0" w:afterAutospacing="0"/>
        <w:jc w:val="center"/>
        <w:rPr>
          <w:b/>
          <w:sz w:val="28"/>
          <w:szCs w:val="28"/>
        </w:rPr>
      </w:pPr>
      <w:r w:rsidRPr="00EC127B">
        <w:rPr>
          <w:b/>
          <w:color w:val="000000"/>
          <w:sz w:val="28"/>
          <w:szCs w:val="28"/>
        </w:rPr>
        <w:t>3.</w:t>
      </w:r>
      <w:r w:rsidRPr="00EC127B">
        <w:rPr>
          <w:b/>
          <w:bCs/>
          <w:color w:val="000000"/>
          <w:sz w:val="28"/>
          <w:szCs w:val="28"/>
        </w:rPr>
        <w:t xml:space="preserve"> Шляхи, заходи та способи розв’язання проблем</w:t>
      </w:r>
    </w:p>
    <w:p w:rsidR="00EC127B" w:rsidRPr="00EC127B" w:rsidP="00EC127B" w14:paraId="1019734B" w14:textId="77777777">
      <w:pPr>
        <w:shd w:val="clear" w:color="auto" w:fill="FFFFFF"/>
        <w:spacing w:after="0" w:line="240" w:lineRule="auto"/>
        <w:ind w:firstLine="709"/>
        <w:jc w:val="center"/>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3B68B0AE" w14:textId="77777777">
      <w:pPr>
        <w:shd w:val="clear" w:color="auto" w:fill="FFFFFF"/>
        <w:spacing w:after="0" w:line="240" w:lineRule="auto"/>
        <w:jc w:val="both"/>
        <w:rPr>
          <w:rFonts w:ascii="Times New Roman" w:hAnsi="Times New Roman" w:cs="Times New Roman"/>
          <w:sz w:val="28"/>
          <w:szCs w:val="28"/>
        </w:rPr>
      </w:pPr>
      <w:r w:rsidRPr="00EC127B">
        <w:rPr>
          <w:rFonts w:ascii="Times New Roman" w:hAnsi="Times New Roman" w:cs="Times New Roman"/>
          <w:color w:val="000000"/>
          <w:sz w:val="28"/>
          <w:szCs w:val="28"/>
        </w:rPr>
        <w:t>Шляхами, заходами та способами розв’язання проблем є:</w:t>
      </w:r>
    </w:p>
    <w:p w:rsidR="00EC127B" w:rsidRPr="00EC127B" w:rsidP="00EC127B" w14:paraId="3A4ED209" w14:textId="77777777">
      <w:pPr>
        <w:shd w:val="clear" w:color="auto" w:fill="FFFFFF"/>
        <w:spacing w:after="0" w:line="240" w:lineRule="auto"/>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7CDC8067" w14:textId="77777777">
      <w:pPr>
        <w:shd w:val="clear" w:color="auto" w:fill="FFFFFF"/>
        <w:spacing w:after="0" w:line="240" w:lineRule="auto"/>
        <w:ind w:firstLine="708"/>
        <w:jc w:val="both"/>
        <w:rPr>
          <w:rFonts w:ascii="Times New Roman" w:hAnsi="Times New Roman" w:cs="Times New Roman"/>
          <w:sz w:val="28"/>
          <w:szCs w:val="28"/>
        </w:rPr>
      </w:pPr>
      <w:r w:rsidRPr="00EC127B">
        <w:rPr>
          <w:rFonts w:ascii="Times New Roman" w:hAnsi="Times New Roman" w:cs="Times New Roman"/>
          <w:color w:val="000000"/>
          <w:sz w:val="28"/>
          <w:szCs w:val="28"/>
        </w:rPr>
        <w:t>а. організація відпрацювання порушниками адміністративного стягнення у вигляді суспільно корисних робіт та примусового стягнення заборгованості зі сплати аліментів в інтересах захисту прав та інтересів дітей;</w:t>
      </w:r>
    </w:p>
    <w:p w:rsidR="00EC127B" w:rsidRPr="00EC127B" w:rsidP="00EC127B" w14:paraId="3236E728" w14:textId="77777777">
      <w:pPr>
        <w:shd w:val="clear" w:color="auto" w:fill="FFFFFF"/>
        <w:spacing w:after="0" w:line="240" w:lineRule="auto"/>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7F4EA732" w14:textId="77777777">
      <w:pPr>
        <w:shd w:val="clear" w:color="auto" w:fill="FFFFFF"/>
        <w:spacing w:after="0" w:line="240" w:lineRule="auto"/>
        <w:ind w:firstLine="708"/>
        <w:jc w:val="both"/>
        <w:rPr>
          <w:rFonts w:ascii="Times New Roman" w:hAnsi="Times New Roman" w:cs="Times New Roman"/>
          <w:sz w:val="28"/>
          <w:szCs w:val="28"/>
        </w:rPr>
      </w:pPr>
      <w:r w:rsidRPr="00EC127B">
        <w:rPr>
          <w:rFonts w:ascii="Times New Roman" w:hAnsi="Times New Roman" w:cs="Times New Roman"/>
          <w:color w:val="000000"/>
          <w:sz w:val="28"/>
          <w:szCs w:val="28"/>
        </w:rPr>
        <w:t>б. ведення обліку осіб (порушників) направлених на відбування покарання у вигляді суспільно корисних робіт;</w:t>
      </w:r>
    </w:p>
    <w:p w:rsidR="00EC127B" w:rsidRPr="00EC127B" w:rsidP="00EC127B" w14:paraId="077115D0" w14:textId="77777777">
      <w:pPr>
        <w:shd w:val="clear" w:color="auto" w:fill="FFFFFF"/>
        <w:spacing w:after="0" w:line="240" w:lineRule="auto"/>
        <w:ind w:firstLine="708"/>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185E8EBA" w14:textId="77777777">
      <w:pPr>
        <w:shd w:val="clear" w:color="auto" w:fill="FFFFFF"/>
        <w:spacing w:after="0" w:line="240" w:lineRule="auto"/>
        <w:ind w:firstLine="708"/>
        <w:jc w:val="both"/>
        <w:rPr>
          <w:rFonts w:ascii="Times New Roman" w:hAnsi="Times New Roman" w:cs="Times New Roman"/>
          <w:sz w:val="28"/>
          <w:szCs w:val="28"/>
        </w:rPr>
      </w:pPr>
      <w:r w:rsidRPr="00EC127B">
        <w:rPr>
          <w:rFonts w:ascii="Times New Roman" w:hAnsi="Times New Roman" w:cs="Times New Roman"/>
          <w:color w:val="000000"/>
          <w:sz w:val="28"/>
          <w:szCs w:val="28"/>
        </w:rPr>
        <w:t>в. вивчення питання щодо необхідності забезпечення інвентарем та іншими засобами праці для проведення суспільно корисних робіт.</w:t>
      </w:r>
    </w:p>
    <w:p w:rsidR="00EC127B" w:rsidRPr="00EC127B" w:rsidP="00EC127B" w14:paraId="7E9637F4" w14:textId="77777777">
      <w:pPr>
        <w:shd w:val="clear" w:color="auto" w:fill="FFFFFF"/>
        <w:spacing w:after="0" w:line="240" w:lineRule="auto"/>
        <w:ind w:firstLine="708"/>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63ED894B"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Перелік підприємств, на яких планується проведення суспільно корисних робіт є: </w:t>
      </w:r>
      <w:r w:rsidRPr="00EC127B">
        <w:rPr>
          <w:rFonts w:ascii="Times New Roman" w:hAnsi="Times New Roman" w:cs="Times New Roman"/>
          <w:sz w:val="28"/>
          <w:szCs w:val="28"/>
        </w:rPr>
        <w:t>КП БМР БР КО «ЖЕК-1», КП БМР БР КО «ЖЕК-2», КП БМР БР КО «ЖЕК-3», КП БМР БР КО «ЖЕК-4», КП БМР БР КО «ЖЕК-5»</w:t>
      </w:r>
      <w:r w:rsidRPr="00EC127B">
        <w:rPr>
          <w:rFonts w:ascii="Times New Roman" w:hAnsi="Times New Roman" w:cs="Times New Roman"/>
          <w:color w:val="000000"/>
          <w:sz w:val="28"/>
          <w:szCs w:val="28"/>
        </w:rPr>
        <w:t>.</w:t>
      </w:r>
    </w:p>
    <w:p w:rsidR="00EC127B" w:rsidRPr="00EC127B" w:rsidP="00EC127B" w14:paraId="2AB8F39D" w14:textId="5021A048">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Перелік об’єктів, на яких планується проведення суспільно корисних робіт:</w:t>
      </w:r>
      <w:r w:rsidRPr="00EC127B">
        <w:rPr>
          <w:rFonts w:ascii="Times New Roman" w:hAnsi="Times New Roman" w:cs="Times New Roman"/>
          <w:color w:val="000000"/>
          <w:sz w:val="28"/>
          <w:szCs w:val="28"/>
          <w:lang w:val="ru-RU"/>
        </w:rPr>
        <w:t xml:space="preserve"> </w:t>
      </w:r>
      <w:r w:rsidRPr="00EC127B">
        <w:rPr>
          <w:rFonts w:ascii="Times New Roman" w:hAnsi="Times New Roman" w:cs="Times New Roman"/>
          <w:color w:val="000000"/>
          <w:sz w:val="28"/>
          <w:szCs w:val="28"/>
        </w:rPr>
        <w:t>багатоквартирні будинки, прибудинкові території багатоквартирних будинків, інші об’єкти комунального господарства.</w:t>
      </w:r>
    </w:p>
    <w:p w:rsidR="00EC127B" w:rsidRPr="00EC127B" w:rsidP="00EC127B" w14:paraId="1466A10F"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403D79D1"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3. Перелік видів оплачуваних суспільно корисних робіт:</w:t>
      </w:r>
    </w:p>
    <w:p w:rsidR="00EC127B" w:rsidRPr="00EC127B" w:rsidP="00EC127B" w14:paraId="117717B4" w14:textId="77777777">
      <w:pPr>
        <w:shd w:val="clear" w:color="auto" w:fill="FFFFFF"/>
        <w:spacing w:after="0" w:line="240" w:lineRule="auto"/>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20D50087" w14:textId="77777777">
      <w:pPr>
        <w:shd w:val="clear" w:color="auto" w:fill="FFFFFF"/>
        <w:spacing w:after="0" w:line="240" w:lineRule="auto"/>
        <w:ind w:firstLine="708"/>
        <w:jc w:val="both"/>
        <w:rPr>
          <w:rFonts w:ascii="Times New Roman" w:hAnsi="Times New Roman" w:cs="Times New Roman"/>
          <w:sz w:val="28"/>
          <w:szCs w:val="28"/>
          <w:lang w:val="ru-RU"/>
        </w:rPr>
      </w:pPr>
      <w:r w:rsidRPr="00EC127B">
        <w:rPr>
          <w:rFonts w:ascii="Times New Roman" w:hAnsi="Times New Roman" w:cs="Times New Roman"/>
          <w:color w:val="000000"/>
          <w:sz w:val="28"/>
          <w:szCs w:val="28"/>
        </w:rPr>
        <w:t xml:space="preserve">а. </w:t>
      </w:r>
      <w:r w:rsidRPr="00EC127B">
        <w:rPr>
          <w:rFonts w:ascii="Times New Roman" w:hAnsi="Times New Roman" w:cs="Times New Roman"/>
          <w:sz w:val="28"/>
          <w:szCs w:val="28"/>
        </w:rPr>
        <w:t>прибирання місць загального користування багатоквартирних будинків</w:t>
      </w:r>
      <w:r w:rsidRPr="00EC127B">
        <w:rPr>
          <w:rFonts w:ascii="Times New Roman" w:hAnsi="Times New Roman" w:cs="Times New Roman"/>
          <w:color w:val="000000"/>
          <w:sz w:val="28"/>
          <w:szCs w:val="28"/>
          <w:lang w:val="ru-RU"/>
        </w:rPr>
        <w:t>;</w:t>
      </w:r>
    </w:p>
    <w:p w:rsidR="00EC127B" w:rsidRPr="00EC127B" w:rsidP="00EC127B" w14:paraId="2681EDFF"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619416E4" w14:textId="19AE55E3">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б. </w:t>
      </w:r>
      <w:r w:rsidRPr="00EC127B">
        <w:rPr>
          <w:rFonts w:ascii="Times New Roman" w:hAnsi="Times New Roman" w:cs="Times New Roman"/>
          <w:sz w:val="28"/>
          <w:szCs w:val="28"/>
        </w:rPr>
        <w:t xml:space="preserve">прибирання прибудинкових територій багатоквартирних будинків від сміття, а також транспортування сміття у визначене місце; сезонні робіти з благоустрою – скошування трави вручну та </w:t>
      </w:r>
      <w:r w:rsidRPr="00EC127B">
        <w:rPr>
          <w:rFonts w:ascii="Times New Roman" w:hAnsi="Times New Roman" w:cs="Times New Roman"/>
          <w:sz w:val="28"/>
          <w:szCs w:val="28"/>
        </w:rPr>
        <w:t>мотокосами</w:t>
      </w:r>
      <w:r w:rsidRPr="00EC127B">
        <w:rPr>
          <w:rFonts w:ascii="Times New Roman" w:hAnsi="Times New Roman" w:cs="Times New Roman"/>
          <w:sz w:val="28"/>
          <w:szCs w:val="28"/>
        </w:rPr>
        <w:t xml:space="preserve"> (тримером) та прибирання скошеної трави з газонів</w:t>
      </w:r>
      <w:r w:rsidRPr="00EC127B">
        <w:rPr>
          <w:rFonts w:ascii="Times New Roman" w:hAnsi="Times New Roman" w:cs="Times New Roman"/>
          <w:color w:val="000000"/>
          <w:sz w:val="28"/>
          <w:szCs w:val="28"/>
        </w:rPr>
        <w:t>; прибирання території від опалого листя, віднесення на відстань 30 метрів, навантаження на транспортний засіб або ємність вручну;</w:t>
      </w:r>
    </w:p>
    <w:p w:rsidR="00EC127B" w:rsidRPr="00EC127B" w:rsidP="00EC127B" w14:paraId="093F1F12"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55979AC7"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в. </w:t>
      </w:r>
      <w:r w:rsidRPr="00EC127B">
        <w:rPr>
          <w:rFonts w:ascii="Times New Roman" w:hAnsi="Times New Roman" w:cs="Times New Roman"/>
          <w:sz w:val="28"/>
          <w:szCs w:val="28"/>
        </w:rPr>
        <w:t>прибирання території дитячих та спортивних майданчиків на прибудинкових територіях</w:t>
      </w:r>
      <w:r w:rsidRPr="00EC127B">
        <w:rPr>
          <w:rFonts w:ascii="Times New Roman" w:hAnsi="Times New Roman" w:cs="Times New Roman"/>
          <w:color w:val="000000"/>
          <w:sz w:val="28"/>
          <w:szCs w:val="28"/>
        </w:rPr>
        <w:t>; </w:t>
      </w:r>
    </w:p>
    <w:p w:rsidR="00EC127B" w:rsidRPr="00EC127B" w:rsidP="00EC127B" w14:paraId="3419A8B3"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57699DCA"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г. фарбування елементів благоустрою</w:t>
      </w:r>
      <w:r w:rsidRPr="00EC127B">
        <w:rPr>
          <w:rFonts w:ascii="Times New Roman" w:hAnsi="Times New Roman" w:cs="Times New Roman"/>
          <w:sz w:val="28"/>
          <w:szCs w:val="28"/>
        </w:rPr>
        <w:t>, вапняне фарбування дерев</w:t>
      </w:r>
      <w:r w:rsidRPr="00EC127B">
        <w:rPr>
          <w:rFonts w:ascii="Times New Roman" w:hAnsi="Times New Roman" w:cs="Times New Roman"/>
          <w:color w:val="000000"/>
          <w:sz w:val="28"/>
          <w:szCs w:val="28"/>
        </w:rPr>
        <w:t>;</w:t>
      </w:r>
    </w:p>
    <w:p w:rsidR="00EC127B" w:rsidRPr="00EC127B" w:rsidP="00EC127B" w14:paraId="09D72228"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1D460EDB" w14:textId="69D4A7CB">
      <w:pPr>
        <w:shd w:val="clear" w:color="auto" w:fill="FFFFFF"/>
        <w:spacing w:after="0" w:line="240" w:lineRule="auto"/>
        <w:ind w:firstLine="709"/>
        <w:jc w:val="both"/>
        <w:rPr>
          <w:rFonts w:ascii="Times New Roman" w:hAnsi="Times New Roman" w:cs="Times New Roman"/>
          <w:color w:val="000000"/>
          <w:sz w:val="28"/>
          <w:szCs w:val="28"/>
          <w:lang w:val="ru-RU"/>
        </w:rPr>
      </w:pPr>
      <w:r w:rsidRPr="00EC127B">
        <w:rPr>
          <w:rFonts w:ascii="Times New Roman" w:hAnsi="Times New Roman" w:cs="Times New Roman"/>
          <w:color w:val="000000"/>
          <w:sz w:val="28"/>
          <w:szCs w:val="28"/>
        </w:rPr>
        <w:t>д.</w:t>
      </w:r>
      <w:r w:rsidRPr="00EC127B">
        <w:rPr>
          <w:rFonts w:ascii="Times New Roman" w:hAnsi="Times New Roman" w:cs="Times New Roman"/>
          <w:color w:val="000000"/>
          <w:sz w:val="28"/>
          <w:szCs w:val="28"/>
          <w:lang w:val="ru-RU"/>
        </w:rPr>
        <w:t xml:space="preserve"> </w:t>
      </w:r>
      <w:r w:rsidRPr="00EC127B">
        <w:rPr>
          <w:rFonts w:ascii="Times New Roman" w:hAnsi="Times New Roman" w:cs="Times New Roman"/>
          <w:sz w:val="28"/>
          <w:szCs w:val="28"/>
        </w:rPr>
        <w:t>очищення території комунальної власності від снігу</w:t>
      </w:r>
      <w:r w:rsidRPr="00EC127B">
        <w:rPr>
          <w:rFonts w:ascii="Times New Roman" w:hAnsi="Times New Roman" w:cs="Times New Roman"/>
          <w:color w:val="000000"/>
          <w:sz w:val="28"/>
          <w:szCs w:val="28"/>
          <w:lang w:val="ru-RU"/>
        </w:rPr>
        <w:t>;</w:t>
      </w:r>
    </w:p>
    <w:p w:rsidR="00EC127B" w:rsidRPr="00EC127B" w:rsidP="00EC127B" w14:paraId="23B4B57C" w14:textId="77777777">
      <w:pPr>
        <w:shd w:val="clear" w:color="auto" w:fill="FFFFFF"/>
        <w:spacing w:after="0" w:line="240" w:lineRule="auto"/>
        <w:ind w:firstLine="709"/>
        <w:jc w:val="both"/>
        <w:rPr>
          <w:rFonts w:ascii="Times New Roman" w:hAnsi="Times New Roman" w:cs="Times New Roman"/>
          <w:color w:val="000000"/>
          <w:sz w:val="28"/>
          <w:szCs w:val="28"/>
        </w:rPr>
      </w:pPr>
    </w:p>
    <w:p w:rsidR="00EC127B" w:rsidRPr="00EC127B" w:rsidP="00EC127B" w14:paraId="66A32C4A" w14:textId="1E3606C4">
      <w:pPr>
        <w:shd w:val="clear" w:color="auto" w:fill="FFFFFF"/>
        <w:spacing w:after="0" w:line="240" w:lineRule="auto"/>
        <w:ind w:firstLine="709"/>
        <w:jc w:val="both"/>
        <w:rPr>
          <w:rFonts w:ascii="Times New Roman" w:hAnsi="Times New Roman" w:cs="Times New Roman"/>
          <w:color w:val="000000"/>
          <w:sz w:val="28"/>
          <w:szCs w:val="28"/>
        </w:rPr>
      </w:pPr>
      <w:r w:rsidRPr="00EC127B">
        <w:rPr>
          <w:rFonts w:ascii="Times New Roman" w:hAnsi="Times New Roman" w:cs="Times New Roman"/>
          <w:color w:val="000000"/>
          <w:sz w:val="28"/>
          <w:szCs w:val="28"/>
        </w:rPr>
        <w:t xml:space="preserve">е. підмітання майданчика, </w:t>
      </w:r>
      <w:r w:rsidRPr="00EC127B">
        <w:rPr>
          <w:rFonts w:ascii="Times New Roman" w:hAnsi="Times New Roman" w:cs="Times New Roman"/>
          <w:sz w:val="28"/>
          <w:szCs w:val="28"/>
        </w:rPr>
        <w:t>утримання в належному стані контейнерів, урн, очищення їх від сміття, підготовка контейнерів для заповнення сміттям, прибирання території і встановлення пустих контейнерів на місця після від’їзду сміттєвоза, завантаження сміття на транспортний засію вручну;</w:t>
      </w:r>
    </w:p>
    <w:p w:rsidR="00EC127B" w:rsidRPr="00EC127B" w:rsidP="00EC127B" w14:paraId="1CE6EF59" w14:textId="77777777">
      <w:pPr>
        <w:shd w:val="clear" w:color="auto" w:fill="FFFFFF"/>
        <w:spacing w:after="0" w:line="240" w:lineRule="auto"/>
        <w:ind w:firstLine="709"/>
        <w:jc w:val="both"/>
        <w:rPr>
          <w:rFonts w:ascii="Times New Roman" w:hAnsi="Times New Roman" w:cs="Times New Roman"/>
          <w:color w:val="000000"/>
          <w:sz w:val="28"/>
          <w:szCs w:val="28"/>
        </w:rPr>
      </w:pPr>
    </w:p>
    <w:p w:rsidR="00EC127B" w:rsidRPr="00EC127B" w:rsidP="00EC127B" w14:paraId="6278E25A"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є. </w:t>
      </w:r>
      <w:r w:rsidRPr="00EC127B">
        <w:rPr>
          <w:rFonts w:ascii="Times New Roman" w:hAnsi="Times New Roman" w:cs="Times New Roman"/>
          <w:sz w:val="28"/>
          <w:szCs w:val="28"/>
        </w:rPr>
        <w:t>участь у ліквідації наслідків стихійних явищ;</w:t>
      </w:r>
    </w:p>
    <w:p w:rsidR="00EC127B" w:rsidRPr="00EC127B" w:rsidP="00EC127B" w14:paraId="5290794D" w14:textId="77777777">
      <w:pPr>
        <w:shd w:val="clear" w:color="auto" w:fill="FFFFFF"/>
        <w:spacing w:after="0" w:line="240" w:lineRule="auto"/>
        <w:ind w:firstLine="709"/>
        <w:jc w:val="both"/>
        <w:rPr>
          <w:rFonts w:ascii="Times New Roman" w:hAnsi="Times New Roman" w:cs="Times New Roman"/>
          <w:sz w:val="28"/>
          <w:szCs w:val="28"/>
        </w:rPr>
      </w:pPr>
    </w:p>
    <w:p w:rsidR="00EC127B" w:rsidRPr="00EC127B" w:rsidP="00EC127B" w14:paraId="0B8A5A50"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ж. підмітання горищ, підвалів, бойлерних, прибирання та транспортування бруду у визначене місце;</w:t>
      </w:r>
    </w:p>
    <w:p w:rsidR="00EC127B" w:rsidRPr="00EC127B" w:rsidP="00EC127B" w14:paraId="55B772A6" w14:textId="77777777">
      <w:pPr>
        <w:shd w:val="clear" w:color="auto" w:fill="FFFFFF"/>
        <w:spacing w:after="0" w:line="240" w:lineRule="auto"/>
        <w:ind w:firstLine="709"/>
        <w:jc w:val="both"/>
        <w:rPr>
          <w:rFonts w:ascii="Times New Roman" w:hAnsi="Times New Roman" w:cs="Times New Roman"/>
          <w:sz w:val="28"/>
          <w:szCs w:val="28"/>
        </w:rPr>
      </w:pPr>
    </w:p>
    <w:p w:rsidR="00EC127B" w:rsidRPr="00EC127B" w:rsidP="00EC127B" w14:paraId="79B61DFF"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з.  миття вікон з легким доступом для роботи;</w:t>
      </w:r>
    </w:p>
    <w:p w:rsidR="00EC127B" w:rsidRPr="00EC127B" w:rsidP="00EC127B" w14:paraId="5AA9BBB7" w14:textId="77777777">
      <w:pPr>
        <w:shd w:val="clear" w:color="auto" w:fill="FFFFFF"/>
        <w:spacing w:after="0" w:line="240" w:lineRule="auto"/>
        <w:ind w:firstLine="709"/>
        <w:jc w:val="both"/>
        <w:rPr>
          <w:rFonts w:ascii="Times New Roman" w:hAnsi="Times New Roman" w:cs="Times New Roman"/>
          <w:sz w:val="28"/>
          <w:szCs w:val="28"/>
        </w:rPr>
      </w:pPr>
    </w:p>
    <w:p w:rsidR="00EC127B" w:rsidRPr="00EC127B" w:rsidP="00EC127B" w14:paraId="3C9353E4"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и. прибирання туалету в приміщенні;</w:t>
      </w:r>
    </w:p>
    <w:p w:rsidR="00EC127B" w:rsidRPr="00EC127B" w:rsidP="00EC127B" w14:paraId="7B0627B1" w14:textId="77777777">
      <w:pPr>
        <w:shd w:val="clear" w:color="auto" w:fill="FFFFFF"/>
        <w:spacing w:after="0" w:line="240" w:lineRule="auto"/>
        <w:ind w:firstLine="709"/>
        <w:jc w:val="both"/>
        <w:rPr>
          <w:rFonts w:ascii="Times New Roman" w:hAnsi="Times New Roman" w:cs="Times New Roman"/>
          <w:sz w:val="28"/>
          <w:szCs w:val="28"/>
        </w:rPr>
      </w:pPr>
    </w:p>
    <w:p w:rsidR="00EC127B" w:rsidRPr="00EC127B" w:rsidP="00EC127B" w14:paraId="362DB7A6"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і. інші види робіт, які мають суспільно-корисну спрямованість;</w:t>
      </w:r>
    </w:p>
    <w:p w:rsidR="00EC127B" w:rsidRPr="00EC127B" w:rsidP="00EC127B" w14:paraId="12EB2902"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6290F310"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4. Підприємства, на яких планується проведення суспільно корисних робіт:</w:t>
      </w:r>
    </w:p>
    <w:p w:rsidR="00EC127B" w:rsidRPr="00EC127B" w:rsidP="00EC127B" w14:paraId="6DC995A2" w14:textId="77777777">
      <w:pPr>
        <w:shd w:val="clear" w:color="auto" w:fill="FFFFFF"/>
        <w:spacing w:after="0" w:line="240" w:lineRule="auto"/>
        <w:ind w:firstLine="709"/>
        <w:contextualSpacing/>
        <w:jc w:val="both"/>
        <w:rPr>
          <w:rFonts w:ascii="Times New Roman" w:hAnsi="Times New Roman" w:cs="Times New Roman"/>
          <w:sz w:val="28"/>
          <w:szCs w:val="28"/>
        </w:rPr>
      </w:pPr>
      <w:r w:rsidRPr="00EC127B">
        <w:rPr>
          <w:rFonts w:ascii="Times New Roman" w:hAnsi="Times New Roman" w:cs="Times New Roman"/>
          <w:sz w:val="28"/>
          <w:szCs w:val="28"/>
        </w:rPr>
        <w:t> - укладають з направленими особами, на відпрацювання суспільно корисних робіт, цивільно-правові договори на участь в суспільно корисних роботах, але одночасно не більше 3-х осіб;</w:t>
      </w:r>
    </w:p>
    <w:p w:rsidR="00EC127B" w:rsidRPr="00EC127B" w:rsidP="00EC127B" w14:paraId="697E6C79" w14:textId="77777777">
      <w:pPr>
        <w:shd w:val="clear" w:color="auto" w:fill="FFFFFF"/>
        <w:spacing w:after="0" w:line="240" w:lineRule="auto"/>
        <w:ind w:firstLine="709"/>
        <w:contextualSpacing/>
        <w:jc w:val="both"/>
        <w:rPr>
          <w:rFonts w:ascii="Times New Roman" w:hAnsi="Times New Roman" w:cs="Times New Roman"/>
          <w:sz w:val="28"/>
          <w:szCs w:val="28"/>
        </w:rPr>
      </w:pPr>
      <w:r w:rsidRPr="00EC127B">
        <w:rPr>
          <w:rFonts w:ascii="Times New Roman" w:hAnsi="Times New Roman" w:cs="Times New Roman"/>
          <w:sz w:val="28"/>
          <w:szCs w:val="28"/>
        </w:rPr>
        <w:t>- інформують порушників про умови, режим роботи, оплату праці на підприємстві, в організації, установі;</w:t>
      </w:r>
    </w:p>
    <w:p w:rsidR="00EC127B" w:rsidRPr="00EC127B" w:rsidP="00EC127B" w14:paraId="32144B47" w14:textId="77777777">
      <w:pPr>
        <w:shd w:val="clear" w:color="auto" w:fill="FFFFFF"/>
        <w:spacing w:after="0" w:line="240" w:lineRule="auto"/>
        <w:ind w:right="450" w:firstLine="993"/>
        <w:contextualSpacing/>
        <w:jc w:val="both"/>
        <w:rPr>
          <w:rFonts w:ascii="Times New Roman" w:hAnsi="Times New Roman" w:cs="Times New Roman"/>
          <w:sz w:val="28"/>
          <w:szCs w:val="28"/>
        </w:rPr>
      </w:pPr>
      <w:r w:rsidRPr="00EC127B">
        <w:rPr>
          <w:rFonts w:ascii="Times New Roman" w:hAnsi="Times New Roman" w:cs="Times New Roman"/>
          <w:sz w:val="28"/>
          <w:szCs w:val="28"/>
          <w:bdr w:val="none" w:sz="0" w:space="0" w:color="auto" w:frame="1"/>
          <w:shd w:val="clear" w:color="auto" w:fill="FFFFFF"/>
        </w:rPr>
        <w:t>- здійснюють контроль за виконанням порушниками призначених їм робіт;</w:t>
      </w:r>
    </w:p>
    <w:p w:rsidR="00EC127B" w:rsidRPr="00EC127B" w:rsidP="00EC127B" w14:paraId="4F98BD28" w14:textId="77777777">
      <w:pPr>
        <w:shd w:val="clear" w:color="auto" w:fill="FFFFFF"/>
        <w:spacing w:after="0" w:line="240" w:lineRule="auto"/>
        <w:ind w:right="450" w:firstLine="993"/>
        <w:contextualSpacing/>
        <w:jc w:val="both"/>
        <w:rPr>
          <w:rFonts w:ascii="Times New Roman" w:hAnsi="Times New Roman" w:cs="Times New Roman"/>
          <w:sz w:val="28"/>
          <w:szCs w:val="28"/>
        </w:rPr>
      </w:pPr>
      <w:r w:rsidRPr="00EC127B">
        <w:rPr>
          <w:rFonts w:ascii="Times New Roman" w:hAnsi="Times New Roman" w:cs="Times New Roman"/>
          <w:sz w:val="28"/>
          <w:szCs w:val="28"/>
          <w:bdr w:val="none" w:sz="0" w:space="0" w:color="auto" w:frame="1"/>
          <w:shd w:val="clear" w:color="auto" w:fill="FFFFFF"/>
        </w:rPr>
        <w:t xml:space="preserve">- своєчасно надають інформацію уповноваженому органу з питань </w:t>
      </w:r>
      <w:r w:rsidRPr="00EC127B">
        <w:rPr>
          <w:rFonts w:ascii="Times New Roman" w:hAnsi="Times New Roman" w:cs="Times New Roman"/>
          <w:sz w:val="28"/>
          <w:szCs w:val="28"/>
          <w:bdr w:val="none" w:sz="0" w:space="0" w:color="auto" w:frame="1"/>
          <w:shd w:val="clear" w:color="auto" w:fill="FFFFFF"/>
        </w:rPr>
        <w:t>пробації</w:t>
      </w:r>
      <w:r w:rsidRPr="00EC127B">
        <w:rPr>
          <w:rFonts w:ascii="Times New Roman" w:hAnsi="Times New Roman" w:cs="Times New Roman"/>
          <w:sz w:val="28"/>
          <w:szCs w:val="28"/>
          <w:bdr w:val="none" w:sz="0" w:space="0" w:color="auto" w:frame="1"/>
          <w:shd w:val="clear" w:color="auto" w:fill="FFFFFF"/>
        </w:rPr>
        <w:t xml:space="preserve"> про ухилення порушника від відбування суспільно корисних робіт;</w:t>
      </w:r>
    </w:p>
    <w:p w:rsidR="00EC127B" w:rsidRPr="00EC127B" w:rsidP="00EC127B" w14:paraId="319D839F" w14:textId="77777777">
      <w:pPr>
        <w:shd w:val="clear" w:color="auto" w:fill="FFFFFF"/>
        <w:spacing w:after="0" w:line="240" w:lineRule="auto"/>
        <w:ind w:firstLine="709"/>
        <w:contextualSpacing/>
        <w:jc w:val="both"/>
        <w:rPr>
          <w:rFonts w:ascii="Times New Roman" w:hAnsi="Times New Roman" w:cs="Times New Roman"/>
          <w:sz w:val="28"/>
          <w:szCs w:val="28"/>
        </w:rPr>
      </w:pPr>
    </w:p>
    <w:p w:rsidR="00EC127B" w:rsidRPr="00EC127B" w:rsidP="00EC127B" w14:paraId="02CF274F" w14:textId="77777777">
      <w:pPr>
        <w:shd w:val="clear" w:color="auto" w:fill="FFFFFF"/>
        <w:spacing w:after="0" w:line="240" w:lineRule="auto"/>
        <w:ind w:firstLine="709"/>
        <w:contextualSpacing/>
        <w:jc w:val="both"/>
        <w:rPr>
          <w:rFonts w:ascii="Times New Roman" w:hAnsi="Times New Roman" w:cs="Times New Roman"/>
          <w:sz w:val="28"/>
          <w:szCs w:val="28"/>
        </w:rPr>
      </w:pPr>
      <w:r w:rsidRPr="00EC127B">
        <w:rPr>
          <w:rFonts w:ascii="Times New Roman" w:hAnsi="Times New Roman" w:cs="Times New Roman"/>
          <w:sz w:val="28"/>
          <w:szCs w:val="28"/>
        </w:rPr>
        <w:t>- здійснюють облік відпрацювання робочого часу порушником;</w:t>
      </w:r>
    </w:p>
    <w:p w:rsidR="00EC127B" w:rsidRPr="00EC127B" w:rsidP="00EC127B" w14:paraId="6023AC2F" w14:textId="77777777">
      <w:pPr>
        <w:shd w:val="clear" w:color="auto" w:fill="FFFFFF"/>
        <w:spacing w:after="0" w:line="240" w:lineRule="auto"/>
        <w:ind w:firstLine="709"/>
        <w:contextualSpacing/>
        <w:jc w:val="both"/>
        <w:rPr>
          <w:rFonts w:ascii="Times New Roman" w:hAnsi="Times New Roman" w:cs="Times New Roman"/>
          <w:sz w:val="28"/>
          <w:szCs w:val="28"/>
        </w:rPr>
      </w:pPr>
    </w:p>
    <w:p w:rsidR="00EC127B" w:rsidRPr="00EC127B" w:rsidP="00EC127B" w14:paraId="5391608A" w14:textId="77777777">
      <w:pPr>
        <w:shd w:val="clear" w:color="auto" w:fill="FFFFFF"/>
        <w:spacing w:after="0" w:line="240" w:lineRule="auto"/>
        <w:ind w:firstLine="708"/>
        <w:contextualSpacing/>
        <w:jc w:val="both"/>
        <w:rPr>
          <w:rFonts w:ascii="Times New Roman" w:hAnsi="Times New Roman" w:cs="Times New Roman"/>
          <w:sz w:val="28"/>
          <w:szCs w:val="28"/>
        </w:rPr>
      </w:pPr>
      <w:r w:rsidRPr="00EC127B">
        <w:rPr>
          <w:rFonts w:ascii="Times New Roman" w:hAnsi="Times New Roman" w:cs="Times New Roman"/>
          <w:sz w:val="28"/>
          <w:szCs w:val="28"/>
        </w:rPr>
        <w:t>- нараховують оплату праці порушнику за виконання суспільно корисних робіт та перераховують її на відповідний рахунок органу державної виконавчої служби для подальшого погашення заборгованості зі сплати аліментів. Оформляють звітну документацію на оплату праці порушників, зайнятих на суспільно корисних роботах.</w:t>
      </w:r>
    </w:p>
    <w:p w:rsidR="00EC127B" w:rsidRPr="00EC127B" w:rsidP="00EC127B" w14:paraId="0B317A55"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042ECD73" w14:textId="77777777">
      <w:pPr>
        <w:pStyle w:val="docdata"/>
        <w:spacing w:before="0" w:beforeAutospacing="0" w:after="0" w:afterAutospacing="0"/>
        <w:ind w:right="-259"/>
        <w:rPr>
          <w:b/>
          <w:sz w:val="28"/>
          <w:szCs w:val="28"/>
        </w:rPr>
      </w:pPr>
      <w:r w:rsidRPr="00EC127B">
        <w:rPr>
          <w:b/>
          <w:bCs/>
          <w:color w:val="000000"/>
          <w:sz w:val="28"/>
          <w:szCs w:val="28"/>
        </w:rPr>
        <w:t xml:space="preserve">4.Фінансове та </w:t>
      </w:r>
      <w:r w:rsidRPr="00EC127B">
        <w:rPr>
          <w:b/>
          <w:bCs/>
          <w:color w:val="000000"/>
          <w:sz w:val="28"/>
          <w:szCs w:val="28"/>
        </w:rPr>
        <w:t>метеріально</w:t>
      </w:r>
      <w:r w:rsidRPr="00EC127B">
        <w:rPr>
          <w:b/>
          <w:bCs/>
          <w:color w:val="000000"/>
          <w:sz w:val="28"/>
          <w:szCs w:val="28"/>
        </w:rPr>
        <w:t xml:space="preserve"> – технічне забезпечення виконання програми</w:t>
      </w:r>
    </w:p>
    <w:p w:rsidR="00EC127B" w:rsidRPr="00EC127B" w:rsidP="00EC127B" w14:paraId="128C5B98" w14:textId="77777777">
      <w:pPr>
        <w:pStyle w:val="NormalWeb"/>
        <w:spacing w:before="0" w:beforeAutospacing="0" w:after="0" w:afterAutospacing="0"/>
        <w:rPr>
          <w:sz w:val="28"/>
          <w:szCs w:val="28"/>
        </w:rPr>
      </w:pPr>
      <w:r w:rsidRPr="00EC127B">
        <w:rPr>
          <w:sz w:val="28"/>
          <w:szCs w:val="28"/>
        </w:rPr>
        <w:t> </w:t>
      </w:r>
    </w:p>
    <w:p w:rsidR="00EC127B" w:rsidRPr="00EC127B" w:rsidP="00EC127B" w14:paraId="2DA28D25" w14:textId="77777777">
      <w:pPr>
        <w:pStyle w:val="NormalWeb"/>
        <w:spacing w:before="0" w:beforeAutospacing="0" w:after="0" w:afterAutospacing="0"/>
        <w:ind w:right="20" w:firstLine="708"/>
        <w:jc w:val="both"/>
        <w:rPr>
          <w:sz w:val="28"/>
          <w:szCs w:val="28"/>
        </w:rPr>
      </w:pPr>
      <w:r w:rsidRPr="00EC127B">
        <w:rPr>
          <w:sz w:val="28"/>
          <w:szCs w:val="28"/>
        </w:rPr>
        <w:t>Фінансування Програми здійснюється в межах видатків, передбачених в місцевому бюджеті на відповідний бюджетний рік.</w:t>
      </w:r>
    </w:p>
    <w:p w:rsidR="00EC127B" w:rsidRPr="00EC127B" w:rsidP="00EC127B" w14:paraId="500D7D63" w14:textId="77777777">
      <w:pPr>
        <w:pStyle w:val="NormalWeb"/>
        <w:spacing w:before="0" w:beforeAutospacing="0" w:after="0" w:afterAutospacing="0"/>
        <w:ind w:right="20" w:firstLine="708"/>
        <w:jc w:val="both"/>
        <w:rPr>
          <w:sz w:val="28"/>
          <w:szCs w:val="28"/>
        </w:rPr>
      </w:pPr>
      <w:r w:rsidRPr="00EC127B">
        <w:rPr>
          <w:sz w:val="28"/>
          <w:szCs w:val="28"/>
        </w:rPr>
        <w:t xml:space="preserve"> Проведення на території громади оплачуваних суспільно корисних робіт передбачається видатками з місцевого бюджету для нарахування заробітної плати погодинно за фактично відпрацьований час, у розмірі не меншому, ніж встановлений законом мінімальний розмір оплати праці. Розмір фінансування Програми приведено в таблиці №1.</w:t>
      </w:r>
    </w:p>
    <w:p w:rsidR="00EC127B" w:rsidRPr="00EC127B" w:rsidP="00EC127B" w14:paraId="30901A9A" w14:textId="77777777">
      <w:pPr>
        <w:pStyle w:val="NormalWeb"/>
        <w:spacing w:before="0" w:beforeAutospacing="0" w:after="0" w:afterAutospacing="0"/>
        <w:ind w:right="20" w:firstLine="708"/>
        <w:jc w:val="right"/>
        <w:rPr>
          <w:sz w:val="28"/>
          <w:szCs w:val="28"/>
        </w:rPr>
      </w:pPr>
      <w:r w:rsidRPr="00EC127B">
        <w:rPr>
          <w:sz w:val="28"/>
          <w:szCs w:val="28"/>
        </w:rPr>
        <w:t>Таблиця №1.</w:t>
      </w:r>
    </w:p>
    <w:tbl>
      <w:tblPr>
        <w:tblStyle w:val="TableGrid"/>
        <w:tblW w:w="9747" w:type="dxa"/>
        <w:tblLayout w:type="fixed"/>
        <w:tblLook w:val="04A0"/>
      </w:tblPr>
      <w:tblGrid>
        <w:gridCol w:w="2518"/>
        <w:gridCol w:w="1276"/>
        <w:gridCol w:w="1417"/>
        <w:gridCol w:w="1134"/>
        <w:gridCol w:w="1134"/>
        <w:gridCol w:w="1134"/>
        <w:gridCol w:w="1134"/>
      </w:tblGrid>
      <w:tr w14:paraId="45502C7D" w14:textId="77777777" w:rsidTr="007A3D40">
        <w:tblPrEx>
          <w:tblW w:w="9747" w:type="dxa"/>
          <w:tblLayout w:type="fixed"/>
          <w:tblLook w:val="04A0"/>
        </w:tblPrEx>
        <w:tc>
          <w:tcPr>
            <w:tcW w:w="2518" w:type="dxa"/>
            <w:vMerge w:val="restart"/>
          </w:tcPr>
          <w:p w:rsidR="00EC127B" w:rsidRPr="00EC127B" w:rsidP="00EC127B" w14:paraId="23596568" w14:textId="77777777">
            <w:pPr>
              <w:pStyle w:val="NormalWeb"/>
              <w:spacing w:before="0" w:beforeAutospacing="0" w:after="0" w:afterAutospacing="0"/>
              <w:ind w:right="20"/>
              <w:jc w:val="both"/>
              <w:rPr>
                <w:sz w:val="28"/>
                <w:szCs w:val="28"/>
                <w:lang w:val="uk-UA"/>
              </w:rPr>
            </w:pPr>
            <w:r w:rsidRPr="00EC127B">
              <w:rPr>
                <w:sz w:val="28"/>
                <w:szCs w:val="28"/>
                <w:lang w:val="uk-UA"/>
              </w:rPr>
              <w:t>Назва заходу</w:t>
            </w:r>
          </w:p>
        </w:tc>
        <w:tc>
          <w:tcPr>
            <w:tcW w:w="7229" w:type="dxa"/>
            <w:gridSpan w:val="6"/>
          </w:tcPr>
          <w:p w:rsidR="00EC127B" w:rsidRPr="00EC127B" w:rsidP="00EC127B" w14:paraId="379409FE" w14:textId="7FA7F7A6">
            <w:pPr>
              <w:pStyle w:val="NormalWeb"/>
              <w:spacing w:before="0" w:beforeAutospacing="0" w:after="0" w:afterAutospacing="0"/>
              <w:ind w:right="20"/>
              <w:jc w:val="center"/>
              <w:rPr>
                <w:sz w:val="28"/>
                <w:szCs w:val="28"/>
              </w:rPr>
            </w:pPr>
            <w:r w:rsidRPr="00EC127B">
              <w:rPr>
                <w:sz w:val="28"/>
                <w:szCs w:val="28"/>
              </w:rPr>
              <w:t>Обсяг</w:t>
            </w:r>
            <w:r w:rsidRPr="00EC127B">
              <w:rPr>
                <w:sz w:val="28"/>
                <w:szCs w:val="28"/>
              </w:rPr>
              <w:t xml:space="preserve"> </w:t>
            </w:r>
            <w:r w:rsidRPr="00EC127B">
              <w:rPr>
                <w:sz w:val="28"/>
                <w:szCs w:val="28"/>
              </w:rPr>
              <w:t>фінансування</w:t>
            </w:r>
            <w:r w:rsidRPr="00EC127B">
              <w:rPr>
                <w:sz w:val="28"/>
                <w:szCs w:val="28"/>
              </w:rPr>
              <w:t xml:space="preserve"> заходу (</w:t>
            </w:r>
            <w:r w:rsidRPr="00EC127B">
              <w:rPr>
                <w:sz w:val="28"/>
                <w:szCs w:val="28"/>
              </w:rPr>
              <w:t>тис.грн</w:t>
            </w:r>
            <w:r w:rsidRPr="00EC127B">
              <w:rPr>
                <w:sz w:val="28"/>
                <w:szCs w:val="28"/>
              </w:rPr>
              <w:t>.)</w:t>
            </w:r>
          </w:p>
        </w:tc>
      </w:tr>
      <w:tr w14:paraId="3C9A72BD" w14:textId="77777777" w:rsidTr="007A3D40">
        <w:tblPrEx>
          <w:tblW w:w="9747" w:type="dxa"/>
          <w:tblLayout w:type="fixed"/>
          <w:tblLook w:val="04A0"/>
        </w:tblPrEx>
        <w:tc>
          <w:tcPr>
            <w:tcW w:w="2518" w:type="dxa"/>
            <w:vMerge/>
          </w:tcPr>
          <w:p w:rsidR="00EC127B" w:rsidRPr="00EC127B" w:rsidP="00EC127B" w14:paraId="2FC7A1BC" w14:textId="77777777">
            <w:pPr>
              <w:pStyle w:val="NormalWeb"/>
              <w:spacing w:before="0" w:beforeAutospacing="0" w:after="0" w:afterAutospacing="0"/>
              <w:ind w:right="20"/>
              <w:jc w:val="both"/>
              <w:rPr>
                <w:sz w:val="28"/>
                <w:szCs w:val="28"/>
              </w:rPr>
            </w:pPr>
          </w:p>
        </w:tc>
        <w:tc>
          <w:tcPr>
            <w:tcW w:w="1276" w:type="dxa"/>
          </w:tcPr>
          <w:p w:rsidR="00EC127B" w:rsidRPr="00EC127B" w:rsidP="00EC127B" w14:paraId="18947979" w14:textId="77777777">
            <w:pPr>
              <w:pStyle w:val="NormalWeb"/>
              <w:spacing w:before="0" w:beforeAutospacing="0" w:after="0" w:afterAutospacing="0"/>
              <w:ind w:right="20"/>
              <w:jc w:val="both"/>
              <w:rPr>
                <w:sz w:val="28"/>
                <w:szCs w:val="28"/>
              </w:rPr>
            </w:pPr>
            <w:r w:rsidRPr="00EC127B">
              <w:rPr>
                <w:sz w:val="28"/>
                <w:szCs w:val="28"/>
              </w:rPr>
              <w:t>2023</w:t>
            </w:r>
          </w:p>
        </w:tc>
        <w:tc>
          <w:tcPr>
            <w:tcW w:w="1417" w:type="dxa"/>
          </w:tcPr>
          <w:p w:rsidR="00EC127B" w:rsidRPr="00EC127B" w:rsidP="00EC127B" w14:paraId="1304D813" w14:textId="77777777">
            <w:pPr>
              <w:pStyle w:val="NormalWeb"/>
              <w:spacing w:before="0" w:beforeAutospacing="0" w:after="0" w:afterAutospacing="0"/>
              <w:ind w:right="20"/>
              <w:jc w:val="center"/>
              <w:rPr>
                <w:sz w:val="28"/>
                <w:szCs w:val="28"/>
              </w:rPr>
            </w:pPr>
            <w:r w:rsidRPr="00EC127B">
              <w:rPr>
                <w:sz w:val="28"/>
                <w:szCs w:val="28"/>
              </w:rPr>
              <w:t>2024</w:t>
            </w:r>
          </w:p>
        </w:tc>
        <w:tc>
          <w:tcPr>
            <w:tcW w:w="1134" w:type="dxa"/>
          </w:tcPr>
          <w:p w:rsidR="00EC127B" w:rsidRPr="00EC127B" w:rsidP="00EC127B" w14:paraId="3BE1FE76" w14:textId="77777777">
            <w:pPr>
              <w:pStyle w:val="NormalWeb"/>
              <w:spacing w:before="0" w:beforeAutospacing="0" w:after="0" w:afterAutospacing="0"/>
              <w:ind w:right="20"/>
              <w:jc w:val="both"/>
              <w:rPr>
                <w:sz w:val="28"/>
                <w:szCs w:val="28"/>
              </w:rPr>
            </w:pPr>
            <w:r w:rsidRPr="00EC127B">
              <w:rPr>
                <w:sz w:val="28"/>
                <w:szCs w:val="28"/>
              </w:rPr>
              <w:t>2025</w:t>
            </w:r>
          </w:p>
        </w:tc>
        <w:tc>
          <w:tcPr>
            <w:tcW w:w="1134" w:type="dxa"/>
          </w:tcPr>
          <w:p w:rsidR="00EC127B" w:rsidRPr="00EC127B" w:rsidP="00EC127B" w14:paraId="67EBB920" w14:textId="77777777">
            <w:pPr>
              <w:pStyle w:val="NormalWeb"/>
              <w:spacing w:before="0" w:beforeAutospacing="0" w:after="0" w:afterAutospacing="0"/>
              <w:ind w:right="20"/>
              <w:jc w:val="both"/>
              <w:rPr>
                <w:sz w:val="28"/>
                <w:szCs w:val="28"/>
              </w:rPr>
            </w:pPr>
            <w:r w:rsidRPr="00EC127B">
              <w:rPr>
                <w:sz w:val="28"/>
                <w:szCs w:val="28"/>
              </w:rPr>
              <w:t>2026</w:t>
            </w:r>
          </w:p>
        </w:tc>
        <w:tc>
          <w:tcPr>
            <w:tcW w:w="1134" w:type="dxa"/>
          </w:tcPr>
          <w:p w:rsidR="00EC127B" w:rsidRPr="00EC127B" w:rsidP="00EC127B" w14:paraId="5929ECAC" w14:textId="77777777">
            <w:pPr>
              <w:pStyle w:val="NormalWeb"/>
              <w:spacing w:before="0" w:beforeAutospacing="0" w:after="0" w:afterAutospacing="0"/>
              <w:ind w:right="20"/>
              <w:jc w:val="both"/>
              <w:rPr>
                <w:sz w:val="28"/>
                <w:szCs w:val="28"/>
              </w:rPr>
            </w:pPr>
            <w:r w:rsidRPr="00EC127B">
              <w:rPr>
                <w:sz w:val="28"/>
                <w:szCs w:val="28"/>
              </w:rPr>
              <w:t>2027</w:t>
            </w:r>
          </w:p>
        </w:tc>
        <w:tc>
          <w:tcPr>
            <w:tcW w:w="1134" w:type="dxa"/>
          </w:tcPr>
          <w:p w:rsidR="00EC127B" w:rsidRPr="00EC127B" w:rsidP="00EC127B" w14:paraId="3869597A" w14:textId="77777777">
            <w:pPr>
              <w:pStyle w:val="NormalWeb"/>
              <w:spacing w:before="0" w:beforeAutospacing="0" w:after="0" w:afterAutospacing="0"/>
              <w:ind w:right="20"/>
              <w:jc w:val="both"/>
              <w:rPr>
                <w:sz w:val="28"/>
                <w:szCs w:val="28"/>
              </w:rPr>
            </w:pPr>
            <w:r w:rsidRPr="00EC127B">
              <w:rPr>
                <w:sz w:val="28"/>
                <w:szCs w:val="28"/>
              </w:rPr>
              <w:t>Всього</w:t>
            </w:r>
          </w:p>
        </w:tc>
      </w:tr>
      <w:tr w14:paraId="26925724" w14:textId="77777777" w:rsidTr="007A3D40">
        <w:tblPrEx>
          <w:tblW w:w="9747" w:type="dxa"/>
          <w:tblLayout w:type="fixed"/>
          <w:tblLook w:val="04A0"/>
        </w:tblPrEx>
        <w:tc>
          <w:tcPr>
            <w:tcW w:w="2518" w:type="dxa"/>
          </w:tcPr>
          <w:p w:rsidR="00EC127B" w:rsidRPr="00EC127B" w:rsidP="00EC127B" w14:paraId="0C309933" w14:textId="54BA06E9">
            <w:pPr>
              <w:pStyle w:val="NormalWeb"/>
              <w:spacing w:before="0" w:beforeAutospacing="0" w:after="0" w:afterAutospacing="0"/>
              <w:ind w:right="20"/>
              <w:jc w:val="both"/>
              <w:rPr>
                <w:sz w:val="28"/>
                <w:szCs w:val="28"/>
              </w:rPr>
            </w:pPr>
            <w:r w:rsidRPr="00EC127B">
              <w:rPr>
                <w:sz w:val="28"/>
                <w:szCs w:val="28"/>
              </w:rPr>
              <w:t>Оплачувані</w:t>
            </w:r>
            <w:r>
              <w:rPr>
                <w:sz w:val="28"/>
                <w:szCs w:val="28"/>
                <w:lang w:val="en-US"/>
              </w:rPr>
              <w:t xml:space="preserve"> </w:t>
            </w:r>
            <w:r w:rsidRPr="00EC127B">
              <w:rPr>
                <w:sz w:val="28"/>
                <w:szCs w:val="28"/>
              </w:rPr>
              <w:t>суспільно</w:t>
            </w:r>
            <w:r w:rsidRPr="00EC127B">
              <w:rPr>
                <w:sz w:val="28"/>
                <w:szCs w:val="28"/>
              </w:rPr>
              <w:t xml:space="preserve"> - </w:t>
            </w:r>
            <w:r w:rsidRPr="00EC127B">
              <w:rPr>
                <w:sz w:val="28"/>
                <w:szCs w:val="28"/>
              </w:rPr>
              <w:t>корисніроботи</w:t>
            </w:r>
          </w:p>
        </w:tc>
        <w:tc>
          <w:tcPr>
            <w:tcW w:w="1276" w:type="dxa"/>
          </w:tcPr>
          <w:p w:rsidR="00EC127B" w:rsidRPr="00EC127B" w:rsidP="00EC127B" w14:paraId="3F71F984" w14:textId="77777777">
            <w:pPr>
              <w:pStyle w:val="NormalWeb"/>
              <w:spacing w:before="0" w:beforeAutospacing="0" w:after="0" w:afterAutospacing="0"/>
              <w:ind w:right="20"/>
              <w:jc w:val="both"/>
              <w:rPr>
                <w:sz w:val="28"/>
                <w:szCs w:val="28"/>
              </w:rPr>
            </w:pPr>
            <w:r w:rsidRPr="00EC127B">
              <w:rPr>
                <w:sz w:val="28"/>
                <w:szCs w:val="28"/>
              </w:rPr>
              <w:t>150,00</w:t>
            </w:r>
          </w:p>
        </w:tc>
        <w:tc>
          <w:tcPr>
            <w:tcW w:w="1417" w:type="dxa"/>
          </w:tcPr>
          <w:p w:rsidR="00EC127B" w:rsidRPr="00EC127B" w:rsidP="00EC127B" w14:paraId="127E1B71" w14:textId="77777777">
            <w:pPr>
              <w:pStyle w:val="NormalWeb"/>
              <w:spacing w:before="0" w:beforeAutospacing="0" w:after="0" w:afterAutospacing="0"/>
              <w:ind w:right="20"/>
              <w:jc w:val="both"/>
              <w:rPr>
                <w:sz w:val="28"/>
                <w:szCs w:val="28"/>
              </w:rPr>
            </w:pPr>
            <w:r w:rsidRPr="00EC127B">
              <w:rPr>
                <w:sz w:val="28"/>
                <w:szCs w:val="28"/>
              </w:rPr>
              <w:t>150,00</w:t>
            </w:r>
          </w:p>
        </w:tc>
        <w:tc>
          <w:tcPr>
            <w:tcW w:w="1134" w:type="dxa"/>
          </w:tcPr>
          <w:p w:rsidR="00EC127B" w:rsidRPr="00EC127B" w:rsidP="00EC127B" w14:paraId="0AEF7367" w14:textId="77777777">
            <w:pPr>
              <w:pStyle w:val="NormalWeb"/>
              <w:spacing w:before="0" w:beforeAutospacing="0" w:after="0" w:afterAutospacing="0"/>
              <w:ind w:right="20"/>
              <w:jc w:val="both"/>
              <w:rPr>
                <w:sz w:val="28"/>
                <w:szCs w:val="28"/>
              </w:rPr>
            </w:pPr>
            <w:r w:rsidRPr="00EC127B">
              <w:rPr>
                <w:sz w:val="28"/>
                <w:szCs w:val="28"/>
              </w:rPr>
              <w:t>150,00</w:t>
            </w:r>
          </w:p>
        </w:tc>
        <w:tc>
          <w:tcPr>
            <w:tcW w:w="1134" w:type="dxa"/>
          </w:tcPr>
          <w:p w:rsidR="00EC127B" w:rsidRPr="00EC127B" w:rsidP="00EC127B" w14:paraId="1F2AF67C" w14:textId="77777777">
            <w:pPr>
              <w:pStyle w:val="NormalWeb"/>
              <w:spacing w:before="0" w:beforeAutospacing="0" w:after="0" w:afterAutospacing="0"/>
              <w:ind w:right="20"/>
              <w:jc w:val="both"/>
              <w:rPr>
                <w:sz w:val="28"/>
                <w:szCs w:val="28"/>
              </w:rPr>
            </w:pPr>
            <w:r w:rsidRPr="00EC127B">
              <w:rPr>
                <w:sz w:val="28"/>
                <w:szCs w:val="28"/>
              </w:rPr>
              <w:t>150,00</w:t>
            </w:r>
          </w:p>
        </w:tc>
        <w:tc>
          <w:tcPr>
            <w:tcW w:w="1134" w:type="dxa"/>
          </w:tcPr>
          <w:p w:rsidR="00EC127B" w:rsidRPr="00EC127B" w:rsidP="00EC127B" w14:paraId="4E3EB223" w14:textId="77777777">
            <w:pPr>
              <w:pStyle w:val="NormalWeb"/>
              <w:spacing w:before="0" w:beforeAutospacing="0" w:after="0" w:afterAutospacing="0"/>
              <w:ind w:right="20"/>
              <w:jc w:val="both"/>
              <w:rPr>
                <w:sz w:val="28"/>
                <w:szCs w:val="28"/>
              </w:rPr>
            </w:pPr>
            <w:r w:rsidRPr="00EC127B">
              <w:rPr>
                <w:sz w:val="28"/>
                <w:szCs w:val="28"/>
              </w:rPr>
              <w:t>150,00</w:t>
            </w:r>
          </w:p>
        </w:tc>
        <w:tc>
          <w:tcPr>
            <w:tcW w:w="1134" w:type="dxa"/>
          </w:tcPr>
          <w:p w:rsidR="00EC127B" w:rsidRPr="00EC127B" w:rsidP="00EC127B" w14:paraId="5644C04E" w14:textId="77777777">
            <w:pPr>
              <w:pStyle w:val="NormalWeb"/>
              <w:spacing w:before="0" w:beforeAutospacing="0" w:after="0" w:afterAutospacing="0"/>
              <w:ind w:right="20"/>
              <w:jc w:val="both"/>
              <w:rPr>
                <w:sz w:val="28"/>
                <w:szCs w:val="28"/>
              </w:rPr>
            </w:pPr>
            <w:r w:rsidRPr="00EC127B">
              <w:rPr>
                <w:sz w:val="28"/>
                <w:szCs w:val="28"/>
              </w:rPr>
              <w:t>750,00</w:t>
            </w:r>
          </w:p>
        </w:tc>
      </w:tr>
    </w:tbl>
    <w:p w:rsidR="00EC127B" w:rsidRPr="00EC127B" w:rsidP="00EC127B" w14:paraId="5725BBA5" w14:textId="77777777">
      <w:pPr>
        <w:pStyle w:val="NormalWeb"/>
        <w:spacing w:before="0" w:beforeAutospacing="0" w:after="0" w:afterAutospacing="0"/>
        <w:ind w:right="20" w:firstLine="708"/>
        <w:jc w:val="both"/>
        <w:rPr>
          <w:sz w:val="28"/>
          <w:szCs w:val="28"/>
        </w:rPr>
      </w:pPr>
    </w:p>
    <w:p w:rsidR="00EC127B" w:rsidRPr="00EC127B" w:rsidP="00EC127B" w14:paraId="5D9C924A" w14:textId="77777777">
      <w:pPr>
        <w:pStyle w:val="NormalWeb"/>
        <w:spacing w:before="0" w:beforeAutospacing="0" w:after="0" w:afterAutospacing="0"/>
        <w:ind w:right="20" w:firstLine="708"/>
        <w:jc w:val="both"/>
        <w:rPr>
          <w:sz w:val="28"/>
          <w:szCs w:val="28"/>
        </w:rPr>
      </w:pPr>
      <w:r w:rsidRPr="00EC127B">
        <w:rPr>
          <w:sz w:val="28"/>
          <w:szCs w:val="28"/>
        </w:rPr>
        <w:t>Необхідні матеріально-технічні ресурси, витратні матеріали, що використовуються в ході проведення суспільно корисних робіт, забезпечують роботодавці відповідно до визначених обсягів.</w:t>
      </w:r>
    </w:p>
    <w:p w:rsidR="00EC127B" w:rsidRPr="00EC127B" w:rsidP="00EC127B" w14:paraId="5AA5098E" w14:textId="77777777">
      <w:pPr>
        <w:pStyle w:val="NormalWeb"/>
        <w:tabs>
          <w:tab w:val="left" w:pos="720"/>
        </w:tabs>
        <w:spacing w:before="0" w:beforeAutospacing="0" w:after="0" w:afterAutospacing="0"/>
        <w:jc w:val="both"/>
        <w:rPr>
          <w:sz w:val="28"/>
          <w:szCs w:val="28"/>
        </w:rPr>
      </w:pPr>
    </w:p>
    <w:p w:rsidR="00EC127B" w:rsidRPr="00EC127B" w:rsidP="00EC127B" w14:paraId="086C8347" w14:textId="77777777">
      <w:pPr>
        <w:shd w:val="clear" w:color="auto" w:fill="FFFFFF"/>
        <w:spacing w:after="0" w:line="240" w:lineRule="auto"/>
        <w:jc w:val="center"/>
        <w:rPr>
          <w:rFonts w:ascii="Times New Roman" w:hAnsi="Times New Roman" w:cs="Times New Roman"/>
          <w:b/>
          <w:sz w:val="28"/>
          <w:szCs w:val="28"/>
        </w:rPr>
      </w:pPr>
      <w:r w:rsidRPr="00EC127B">
        <w:rPr>
          <w:rFonts w:ascii="Times New Roman" w:hAnsi="Times New Roman" w:cs="Times New Roman"/>
          <w:b/>
          <w:bCs/>
          <w:color w:val="000000"/>
          <w:sz w:val="28"/>
          <w:szCs w:val="28"/>
        </w:rPr>
        <w:t>5.Використання коштів</w:t>
      </w:r>
    </w:p>
    <w:p w:rsidR="00EC127B" w:rsidRPr="00EC127B" w:rsidP="00EC127B" w14:paraId="45F4E37B" w14:textId="77777777">
      <w:pPr>
        <w:shd w:val="clear" w:color="auto" w:fill="FFFFFF"/>
        <w:spacing w:after="0" w:line="240" w:lineRule="auto"/>
        <w:ind w:left="720" w:firstLine="708"/>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5EC7B15C"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Фінансування Програми здійснюється в межах видатків, передбачених в місцевому бюджеті на відповідний бюджетний рік</w:t>
      </w:r>
      <w:r w:rsidRPr="00EC127B">
        <w:rPr>
          <w:rFonts w:ascii="Times New Roman" w:hAnsi="Times New Roman" w:cs="Times New Roman"/>
          <w:color w:val="000000"/>
          <w:sz w:val="28"/>
          <w:szCs w:val="28"/>
        </w:rPr>
        <w:t>, а саме:</w:t>
      </w:r>
    </w:p>
    <w:p w:rsidR="00EC127B" w:rsidRPr="00EC127B" w:rsidP="00EC127B" w14:paraId="2DEC01CC" w14:textId="77777777">
      <w:pPr>
        <w:shd w:val="clear" w:color="auto" w:fill="FFFFFF"/>
        <w:tabs>
          <w:tab w:val="left" w:pos="4275"/>
        </w:tabs>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520DADC0" w14:textId="77777777">
      <w:pPr>
        <w:shd w:val="clear" w:color="auto" w:fill="FFFFFF"/>
        <w:tabs>
          <w:tab w:val="left" w:pos="4275"/>
        </w:tabs>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1.  нарахування та оплата праці 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p>
    <w:p w:rsidR="00EC127B" w:rsidRPr="00EC127B" w:rsidP="00EC127B" w14:paraId="71CF72E4" w14:textId="77777777">
      <w:pPr>
        <w:shd w:val="clear" w:color="auto" w:fill="FFFFFF"/>
        <w:tabs>
          <w:tab w:val="left" w:pos="4275"/>
        </w:tabs>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3E77945B" w14:textId="77777777">
      <w:pPr>
        <w:shd w:val="clear" w:color="auto" w:fill="FFFFFF"/>
        <w:tabs>
          <w:tab w:val="left" w:pos="4275"/>
        </w:tabs>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2.  перерахування плати на відповідний рахунок органу державної виконавчої служби для подальшого погашення заборгованості зі сплати аліментів;</w:t>
      </w:r>
    </w:p>
    <w:p w:rsidR="00EC127B" w:rsidRPr="00EC127B" w:rsidP="00EC127B" w14:paraId="0C8346E5"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23437EE2"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3.  витрати на придбання інвентаря та інших засобів для організації виконання суспільно корисних робіт. </w:t>
      </w:r>
    </w:p>
    <w:p w:rsidR="00EC127B" w:rsidRPr="00EC127B" w:rsidP="00EC127B" w14:paraId="6F6766B6"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6CDC4050" w14:textId="77777777">
      <w:pPr>
        <w:shd w:val="clear" w:color="auto" w:fill="FFFFFF"/>
        <w:spacing w:after="0" w:line="240" w:lineRule="auto"/>
        <w:ind w:firstLine="709"/>
        <w:jc w:val="both"/>
        <w:rPr>
          <w:rFonts w:ascii="Times New Roman" w:hAnsi="Times New Roman" w:cs="Times New Roman"/>
          <w:sz w:val="28"/>
          <w:szCs w:val="28"/>
        </w:rPr>
      </w:pPr>
      <w:r w:rsidRPr="00EC127B">
        <w:rPr>
          <w:rFonts w:ascii="Times New Roman" w:hAnsi="Times New Roman" w:cs="Times New Roman"/>
          <w:color w:val="000000"/>
          <w:sz w:val="28"/>
          <w:szCs w:val="28"/>
        </w:rPr>
        <w:t>Не допускається спрямування бюджетних коштів за напрямами (завданнями та заходами), не передбаченими Програмою, реалізацію завдань і заходів, метою яких є отримання прибутку або виконання яких не може забезпечити ефективну реалізацію державної політики у сфері захисту прав та інтересів дітей та примусового стягнення зі сплати аліментів боржниками (порушниками) на яких судом накладено адміністративне стягнення у вигляді суспільно корисних робіт.</w:t>
      </w:r>
    </w:p>
    <w:p w:rsidR="00EC127B" w:rsidRPr="00EC127B" w:rsidP="00EC127B" w14:paraId="589C21FD" w14:textId="77777777">
      <w:pPr>
        <w:pStyle w:val="docdata"/>
        <w:shd w:val="clear" w:color="auto" w:fill="FFFFFF"/>
        <w:spacing w:before="0" w:beforeAutospacing="0" w:after="0" w:afterAutospacing="0"/>
        <w:ind w:firstLine="708"/>
        <w:jc w:val="both"/>
        <w:rPr>
          <w:sz w:val="28"/>
          <w:szCs w:val="28"/>
        </w:rPr>
      </w:pPr>
    </w:p>
    <w:p w:rsidR="00EC127B" w:rsidRPr="00EC127B" w:rsidP="00EC127B" w14:paraId="78D0DA85" w14:textId="77777777">
      <w:pPr>
        <w:spacing w:after="0" w:line="240" w:lineRule="auto"/>
        <w:ind w:right="-259"/>
        <w:jc w:val="center"/>
        <w:rPr>
          <w:rFonts w:ascii="Times New Roman" w:hAnsi="Times New Roman" w:cs="Times New Roman"/>
          <w:sz w:val="28"/>
          <w:szCs w:val="28"/>
        </w:rPr>
      </w:pPr>
      <w:r w:rsidRPr="00EC127B">
        <w:rPr>
          <w:rFonts w:ascii="Times New Roman" w:hAnsi="Times New Roman" w:cs="Times New Roman"/>
          <w:b/>
          <w:bCs/>
          <w:color w:val="000000"/>
          <w:sz w:val="28"/>
          <w:szCs w:val="28"/>
        </w:rPr>
        <w:t>6.Очікувані результати контроль за виконанням програми</w:t>
      </w:r>
    </w:p>
    <w:p w:rsidR="00EC127B" w:rsidRPr="00EC127B" w:rsidP="00EC127B" w14:paraId="7F5C2AEE" w14:textId="77777777">
      <w:pPr>
        <w:spacing w:after="0" w:line="240" w:lineRule="auto"/>
        <w:rPr>
          <w:rFonts w:ascii="Times New Roman" w:hAnsi="Times New Roman" w:cs="Times New Roman"/>
          <w:sz w:val="28"/>
          <w:szCs w:val="28"/>
        </w:rPr>
      </w:pPr>
      <w:r w:rsidRPr="00EC127B">
        <w:rPr>
          <w:rFonts w:ascii="Times New Roman" w:hAnsi="Times New Roman" w:cs="Times New Roman"/>
          <w:sz w:val="28"/>
          <w:szCs w:val="28"/>
        </w:rPr>
        <w:t> </w:t>
      </w:r>
    </w:p>
    <w:p w:rsidR="00EC127B" w:rsidRPr="00EC127B" w:rsidP="00EC127B" w14:paraId="0DE7EE2A" w14:textId="77777777">
      <w:pPr>
        <w:spacing w:after="0" w:line="240" w:lineRule="auto"/>
        <w:ind w:right="20"/>
        <w:jc w:val="both"/>
        <w:rPr>
          <w:rFonts w:ascii="Times New Roman" w:hAnsi="Times New Roman" w:cs="Times New Roman"/>
          <w:sz w:val="28"/>
          <w:szCs w:val="28"/>
        </w:rPr>
      </w:pPr>
      <w:r w:rsidRPr="00EC127B">
        <w:rPr>
          <w:rFonts w:ascii="Times New Roman" w:hAnsi="Times New Roman" w:cs="Times New Roman"/>
          <w:color w:val="000000"/>
          <w:sz w:val="28"/>
          <w:szCs w:val="28"/>
        </w:rPr>
        <w:t xml:space="preserve">         Реалізація програми забезпечить 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w:t>
      </w:r>
      <w:r w:rsidRPr="00EC127B">
        <w:rPr>
          <w:rFonts w:ascii="Times New Roman" w:hAnsi="Times New Roman" w:cs="Times New Roman"/>
          <w:sz w:val="28"/>
          <w:szCs w:val="28"/>
        </w:rPr>
        <w:t> </w:t>
      </w:r>
    </w:p>
    <w:p w:rsidR="00EC127B" w:rsidRPr="00EC127B" w:rsidP="00EC127B" w14:paraId="15A884EC" w14:textId="77777777">
      <w:pPr>
        <w:spacing w:after="0" w:line="240" w:lineRule="auto"/>
        <w:jc w:val="both"/>
        <w:rPr>
          <w:rFonts w:ascii="Times New Roman" w:hAnsi="Times New Roman" w:cs="Times New Roman"/>
          <w:sz w:val="28"/>
          <w:szCs w:val="28"/>
        </w:rPr>
      </w:pPr>
    </w:p>
    <w:p w:rsidR="00EC127B" w:rsidRPr="00EC127B" w:rsidP="00EC127B" w14:paraId="7D000608" w14:textId="77777777">
      <w:pPr>
        <w:pStyle w:val="docdata"/>
        <w:shd w:val="clear" w:color="auto" w:fill="FFFFFF"/>
        <w:spacing w:before="0" w:beforeAutospacing="0" w:after="0" w:afterAutospacing="0"/>
        <w:ind w:firstLine="708"/>
        <w:jc w:val="both"/>
        <w:rPr>
          <w:sz w:val="28"/>
          <w:szCs w:val="28"/>
        </w:rPr>
      </w:pPr>
    </w:p>
    <w:p w:rsidR="00EC127B" w:rsidRPr="00EC127B" w:rsidP="00EC127B" w14:paraId="04F458DF" w14:textId="77777777">
      <w:pPr>
        <w:spacing w:after="0" w:line="240" w:lineRule="auto"/>
        <w:rPr>
          <w:rFonts w:ascii="Times New Roman" w:hAnsi="Times New Roman" w:cs="Times New Roman"/>
          <w:sz w:val="28"/>
          <w:szCs w:val="28"/>
        </w:rPr>
      </w:pPr>
      <w:r w:rsidRPr="00EC127B">
        <w:rPr>
          <w:rFonts w:ascii="Times New Roman" w:hAnsi="Times New Roman" w:cs="Times New Roman"/>
          <w:sz w:val="28"/>
          <w:szCs w:val="28"/>
        </w:rPr>
        <w:t>Міський голова                                         Ігор САПОЖКО</w:t>
      </w:r>
    </w:p>
    <w:permEnd w:id="0"/>
    <w:p w:rsidR="00231682" w:rsidRPr="00EC127B" w:rsidP="00EC127B" w14:paraId="7804F9AA" w14:textId="41801EBB">
      <w:pPr>
        <w:tabs>
          <w:tab w:val="left" w:pos="5610"/>
          <w:tab w:val="left" w:pos="6358"/>
        </w:tabs>
        <w:spacing w:after="0" w:line="240" w:lineRule="auto"/>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01C8"/>
    <w:rsid w:val="003377E0"/>
    <w:rsid w:val="003735BC"/>
    <w:rsid w:val="003A2799"/>
    <w:rsid w:val="003B2A39"/>
    <w:rsid w:val="004208DA"/>
    <w:rsid w:val="00424AD7"/>
    <w:rsid w:val="004B6F95"/>
    <w:rsid w:val="004E41C7"/>
    <w:rsid w:val="00524AF7"/>
    <w:rsid w:val="00545B76"/>
    <w:rsid w:val="006B1308"/>
    <w:rsid w:val="007732CE"/>
    <w:rsid w:val="007C582E"/>
    <w:rsid w:val="00821BD7"/>
    <w:rsid w:val="00853C00"/>
    <w:rsid w:val="00910331"/>
    <w:rsid w:val="00973F9B"/>
    <w:rsid w:val="00A84A56"/>
    <w:rsid w:val="00AE57AA"/>
    <w:rsid w:val="00B20C04"/>
    <w:rsid w:val="00CB633A"/>
    <w:rsid w:val="00E71A04"/>
    <w:rsid w:val="00EC127B"/>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table" w:styleId="TableGrid">
    <w:name w:val="Table Grid"/>
    <w:basedOn w:val="TableNormal"/>
    <w:uiPriority w:val="59"/>
    <w:rsid w:val="00EC127B"/>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5226,baiaagaaboqcaaadebaaaawgeaaaaaaaaaaaaaaaaaaaaaaaaaaaaaaaaaaaaaaaaaaaaaaaaaaaaaaaaaaaaaaaaaaaaaaaaaaaaaaaaaaaaaaaaaaaaaaaaaaaaaaaaaaaaaaaaaaaaaaaaaaaaaaaaaaaaaaaaaaaaaaaaaaaaaaaaaaaaaaaaaaaaaaaaaaaaaaaaaaaaaaaaaaaaaaaaaaaaaaaaaaaaaaa,docy,v5"/>
    <w:basedOn w:val="Normal"/>
    <w:rsid w:val="00EC12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Обычный (Web),Обычный (Web) Знак Знак Знак Знак Знак,Обычный (Web) Знак1 Знак Знак Знак,Обычный (веб) Знак Знак Знак Знак Знак,Обычный (веб) Знак1 Знак,Обычный (веб) Знак1 Знак Знак Знак,Обычный (веб) Знак2,Обычный (веб) Знак2 Знак1 Знак"/>
    <w:basedOn w:val="Normal"/>
    <w:link w:val="a1"/>
    <w:uiPriority w:val="99"/>
    <w:unhideWhenUsed/>
    <w:rsid w:val="00EC1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Звичайний (веб) Знак"/>
    <w:aliases w:val="Обычный (Web) Знак Знак Знак Знак Знак Знак,Обычный (веб) Знак Знак Знак Знак Знак Знак,Обычный (веб) Знак1 Знак Знак,Обычный (веб) Знак1 Знак Знак Знак Знак,Обычный (веб) Знак2 Знак,Обычный (веб) Знак2 Знак1 Знак Знак"/>
    <w:link w:val="NormalWeb"/>
    <w:uiPriority w:val="99"/>
    <w:locked/>
    <w:rsid w:val="00EC12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F2060"/>
    <w:rsid w:val="00540CE0"/>
    <w:rsid w:val="00944049"/>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6561</Words>
  <Characters>3740</Characters>
  <Application>Microsoft Office Word</Application>
  <DocSecurity>8</DocSecurity>
  <Lines>31</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2023-01-12T07:19:00Z</dcterms:modified>
</cp:coreProperties>
</file>