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озпорядження </w:t>
      </w:r>
    </w:p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09.02.2023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tabs>
          <w:tab w:val="left" w:pos="426"/>
        </w:tabs>
        <w:bidi w:val="0"/>
        <w:ind w:left="0" w:right="0"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Склад робочої групи з обстеження системи відеоспостереження в с.Требухів Броварського району Київської області</w:t>
      </w:r>
    </w:p>
    <w:tbl>
      <w:tblPr>
        <w:tblW w:w="0" w:type="auto"/>
        <w:tblInd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0"/>
        <w:gridCol w:w="466"/>
        <w:gridCol w:w="6579"/>
      </w:tblGrid>
      <w:tr>
        <w:tblPrEx>
          <w:tblW w:w="0" w:type="auto"/>
          <w:tblInd w:w="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Маковський Володимир Миколайович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робочої групи;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  <w:t>Данюк Тетяна Іванівна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- начальник відділу комунального майна та комунальних підприємств, секретар робочої групи;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  <w:t>Батюк Сергій Іванович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депутат Броварської міської ради Броварського району Київської області VІІІ скликання (за згодою);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  <w:t>Галілейський Олександр Миколайович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відділу технічної підтримки та інформації управління забезпечення діяльності виконавчого комітету Броварської міської ради Броварського району Київської області та її виконавчих органів;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Кудренко Наталія Ничипорівна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головний спеціаліст відділу експлуатації комунальних об’єктів, інфраструктури та транспорту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Тищенко Олена Петрівна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303030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області.;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Цахло Андрій Олександрович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староста Требухівського старостинського округу Броварського району Київської області.</w:t>
            </w:r>
          </w:p>
        </w:tc>
      </w:tr>
    </w:tbl>
    <w:p>
      <w:pPr>
        <w:widowControl/>
        <w:bidi w:val="0"/>
        <w:spacing w:beforeAutospacing="0" w:after="240" w:afterAutospacing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  <w:tab/>
        <w:tab/>
        <w:t xml:space="preserve">        </w:t>
        <w:tab/>
        <w:tab/>
        <w:tab/>
        <w:tab/>
        <w:t xml:space="preserve">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11</cp:revision>
  <dcterms:created xsi:type="dcterms:W3CDTF">2021-12-31T08:10:00Z</dcterms:created>
  <dcterms:modified xsi:type="dcterms:W3CDTF">2023-02-08T11:23:51Z</dcterms:modified>
</cp:coreProperties>
</file>