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ПВ-225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2B04" w:rsidP="00062B04" w14:paraId="30CD1A37" w14:textId="582826A3">
      <w:pPr>
        <w:spacing w:after="0"/>
        <w:ind w:left="9072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 w:rsidR="00062B04" w:rsidP="00062B04" w14:paraId="47737391" w14:textId="77777777">
      <w:pPr>
        <w:spacing w:after="0"/>
        <w:ind w:left="907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Програми заходів з організації територіальної оборони в Броварській міській територіальній громаді на 2023 рік </w:t>
      </w:r>
      <w:r>
        <w:rPr>
          <w:rFonts w:ascii="Times New Roman" w:hAnsi="Times New Roman"/>
          <w:color w:val="000000"/>
          <w:sz w:val="28"/>
          <w:szCs w:val="28"/>
        </w:rPr>
        <w:t>від _________________№ ______________</w:t>
      </w:r>
    </w:p>
    <w:p w:rsidR="00062B04" w:rsidP="00062B04" w14:paraId="3325555F" w14:textId="77777777">
      <w:pPr>
        <w:ind w:left="9072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62B04" w:rsidP="00062B04" w14:paraId="3A48F33B" w14:textId="77777777">
      <w:pPr>
        <w:spacing w:after="0"/>
        <w:ind w:left="9781"/>
        <w:jc w:val="right"/>
        <w:rPr>
          <w:rFonts w:ascii="Times New Roman" w:hAnsi="Times New Roman"/>
          <w:sz w:val="24"/>
          <w:szCs w:val="24"/>
        </w:rPr>
      </w:pPr>
    </w:p>
    <w:p w:rsidR="00062B04" w:rsidP="00062B04" w14:paraId="1BA7F07C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Потреба у фінансуванні </w:t>
      </w:r>
    </w:p>
    <w:p w:rsidR="00062B04" w:rsidP="00062B04" w14:paraId="14C1748E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062B04" w:rsidP="00062B04" w14:paraId="5CA12534" w14:textId="77777777">
      <w:pPr>
        <w:spacing w:after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2023 рік</w:t>
      </w:r>
    </w:p>
    <w:tbl>
      <w:tblPr>
        <w:tblW w:w="145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245"/>
        <w:gridCol w:w="3145"/>
        <w:gridCol w:w="1021"/>
        <w:gridCol w:w="3372"/>
        <w:gridCol w:w="1874"/>
        <w:gridCol w:w="1275"/>
        <w:gridCol w:w="1103"/>
      </w:tblGrid>
      <w:tr w14:paraId="47F735B6" w14:textId="77777777" w:rsidTr="00062B04">
        <w:tblPrEx>
          <w:tblW w:w="14595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2D1D2FE2" w14:textId="77777777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53C2AB78" w14:textId="77777777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 напрямку діяльності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6E390789" w14:textId="77777777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1CE31705" w14:textId="77777777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Строк виконання заходу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4EF6E538" w14:textId="77777777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Виконавці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70C47D57" w14:textId="77777777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Джерела фінансування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3D09774E" w14:textId="77777777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Потреба у фінансуванні </w:t>
            </w:r>
          </w:p>
          <w:p w:rsidR="00062B04" w14:paraId="2F32B930" w14:textId="77777777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(тис. грн.)</w:t>
            </w:r>
          </w:p>
        </w:tc>
      </w:tr>
      <w:tr w14:paraId="6FA68337" w14:textId="77777777" w:rsidTr="00062B04">
        <w:tblPrEx>
          <w:tblW w:w="14595" w:type="dxa"/>
          <w:tblInd w:w="-176" w:type="dxa"/>
          <w:tblLayout w:type="fixed"/>
          <w:tblLook w:val="04A0"/>
        </w:tblPrEx>
        <w:trPr>
          <w:trHeight w:val="49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14:paraId="71D467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14:paraId="7C9B1D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14:paraId="65B5C8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14:paraId="09D5BA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14:paraId="6768A0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14:paraId="33ED93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3C386E47" w14:textId="77777777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5BEB5EF3" w14:textId="77777777">
            <w:pPr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2023 рік</w:t>
            </w:r>
          </w:p>
        </w:tc>
      </w:tr>
      <w:tr w14:paraId="01BB3FCF" w14:textId="77777777" w:rsidTr="00062B04">
        <w:tblPrEx>
          <w:tblW w:w="14595" w:type="dxa"/>
          <w:tblInd w:w="-176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6204C73F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6C5C95E0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36EE91FC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796341B1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6FDC18A3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69AA106F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3C456FD4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4EDFFB5F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14:paraId="5ADC5FDC" w14:textId="77777777" w:rsidTr="00062B04">
        <w:tblPrEx>
          <w:tblW w:w="14595" w:type="dxa"/>
          <w:tblInd w:w="-176" w:type="dxa"/>
          <w:tblLayout w:type="fixed"/>
          <w:tblLook w:val="04A0"/>
        </w:tblPrEx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14:paraId="078BA8F1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13DCD6A2" w14:textId="77777777">
            <w:pPr>
              <w:shd w:val="clear" w:color="auto" w:fill="FFFFFF"/>
              <w:spacing w:after="0" w:line="216" w:lineRule="auto"/>
              <w:jc w:val="center"/>
              <w:rPr>
                <w:rFonts w:ascii="Times New Roman" w:hAnsi="Times New Roman"/>
                <w:i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Придбання матеріально-технічних засобів, відшкодування вартості утримання та обслуговування об’єктів, а саме: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1A22CE59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для забезпечення підрозділів ТрО, добровольчих формувань, інших військових формувань ЗСУ, МОУ, життєдіяльності населення та безперебійної роботи об’єктів критичної інфраструктури Броварської міської територіальної громади:</w:t>
            </w:r>
          </w:p>
          <w:p w:rsidR="00062B04" w14:paraId="4452FE31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паливно-мастильних матеріалів;</w:t>
            </w:r>
          </w:p>
          <w:p w:rsidR="00062B04" w14:paraId="3EEE756E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комп’ютерної техніки;</w:t>
            </w:r>
          </w:p>
          <w:p w:rsidR="00062B04" w14:paraId="5D1BD407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канцелярського приладдя та патеру формату А4, А3;</w:t>
            </w:r>
          </w:p>
          <w:p w:rsidR="00062B04" w14:paraId="0FA1ECEF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тепловізорів;</w:t>
            </w:r>
          </w:p>
          <w:p w:rsidR="00062B04" w14:paraId="520B3EE0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радіостанцій, антен, репі торів, акумуляторів, розхідних матеріалів.</w:t>
            </w:r>
          </w:p>
          <w:p w:rsidR="00062B04" w14:paraId="1477FE1B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Придбання (надання) робіт, товарів, послуг для забезпечення:</w:t>
            </w:r>
          </w:p>
          <w:p w:rsidR="00062B04" w14:paraId="5A5C0668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діяльності підрозділів ТрО, добровольчих формувань, інших військових формувань ЗСУ, МОУ;</w:t>
            </w:r>
          </w:p>
          <w:p w:rsidR="00062B04" w14:paraId="176EB141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життєдіяльності населення;</w:t>
            </w:r>
          </w:p>
          <w:p w:rsidR="00062B04" w14:paraId="0C92CC8E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безперебійної роботи об’єктів критичної інфраструктури Броварської міської територіальної громади;</w:t>
            </w:r>
          </w:p>
          <w:p w:rsidR="00062B04" w14:paraId="76BE1110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інші видатки.</w:t>
            </w:r>
          </w:p>
          <w:p w:rsidR="00062B04" w14:paraId="74A19CD4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Внески до статутного капіталу комунальних підприємств міста.</w:t>
            </w:r>
          </w:p>
          <w:p w:rsidR="00062B04" w14:paraId="770A6155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00146419"/>
            <w:r>
              <w:rPr>
                <w:rFonts w:ascii="Times New Roman" w:hAnsi="Times New Roman"/>
                <w:sz w:val="24"/>
                <w:szCs w:val="24"/>
              </w:rPr>
              <w:t>Відшкодування вартості:</w:t>
            </w:r>
          </w:p>
          <w:p w:rsidR="00062B04" w14:paraId="6444DE81" w14:textId="77777777">
            <w:pPr>
              <w:spacing w:after="0" w:line="216" w:lineRule="auto"/>
              <w:ind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утримання та обслуговування об’єктів перебування підрозділів ТрО, ЗСУ та добровольчих формувань територіальної оборони, підрозділів правоохоронних органів та інших підрозділів, що забезпечують оборону територіальної громади та охорону громадського </w:t>
            </w:r>
            <w:r>
              <w:rPr>
                <w:rFonts w:ascii="Times New Roman" w:hAnsi="Times New Roman"/>
                <w:sz w:val="24"/>
                <w:szCs w:val="24"/>
              </w:rPr>
              <w:t>порядку під час воєнного стану;</w:t>
            </w:r>
          </w:p>
          <w:p w:rsidR="00062B04" w14:paraId="4118F8F8" w14:textId="77777777">
            <w:pPr>
              <w:keepNext/>
              <w:spacing w:after="0" w:line="216" w:lineRule="auto"/>
              <w:ind w:firstLine="218"/>
              <w:jc w:val="both"/>
              <w:outlineLvl w:val="0"/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iCs/>
                <w:sz w:val="24"/>
                <w:szCs w:val="24"/>
              </w:rPr>
              <w:t>проживання (перебування), харчування підрозділів ТрО, ЗСУ та добровольчих формувань територіальної оборони, підрозділів правоохоронних органів та інших підрозділів, що забезпечують оборону територіальної громади та охорону громадського порядку під час воєнного стану.</w:t>
            </w:r>
            <w:bookmarkEnd w:id="1"/>
          </w:p>
          <w:p w:rsidR="00062B04" w14:paraId="76141077" w14:textId="77777777">
            <w:pPr>
              <w:spacing w:after="0" w:line="240" w:lineRule="auto"/>
              <w:ind w:firstLine="21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Забезпечення перевезення майна, військовослужбовців, резервістів, населення до місць проведення навчань та у зворотному напряму.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7AC8A548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рік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14:paraId="7E79A553" w14:textId="77777777">
            <w:pPr>
              <w:spacing w:after="0" w:line="216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Виконавчий комітет Броварської міської ради Броварського району Київської області,</w:t>
            </w:r>
          </w:p>
          <w:p w:rsidR="00062B04" w14:paraId="1BC87031" w14:textId="77777777">
            <w:pPr>
              <w:spacing w:after="0" w:line="216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>Відділ НС</w:t>
            </w:r>
          </w:p>
          <w:p w:rsidR="00062B04" w14:paraId="7384D832" w14:textId="77777777">
            <w:pPr>
              <w:spacing w:after="0" w:line="216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  </w:t>
            </w:r>
          </w:p>
          <w:p w:rsidR="00062B04" w14:paraId="4A66F28B" w14:textId="77777777">
            <w:pPr>
              <w:spacing w:after="0" w:line="216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062B04" w14:paraId="6A73AC6A" w14:textId="77777777">
            <w:pPr>
              <w:spacing w:after="0" w:line="216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062B04" w14:paraId="72AA4A40" w14:textId="77777777">
            <w:pPr>
              <w:spacing w:after="0" w:line="216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14:paraId="09EF8119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  <w:p w:rsidR="00062B04" w14:paraId="44385BB2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41229DAC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68079970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0696423F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4D781539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12D2F73D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4263963C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Субвенція з місцевого бюджету.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14:paraId="018742AF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3D15E09B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0B567A85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0FA707F3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15E8C1A2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1D591ADA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7E67DD1B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719A52AF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486309C5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14:paraId="1A7AB0B2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6FD9663E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0234409A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299F12F6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56A737FE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681BE6D5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1173783C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15D85D22" w14:textId="7777777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287991D5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</w:tr>
      <w:tr w14:paraId="34B3F9C4" w14:textId="77777777" w:rsidTr="00062B04">
        <w:tblPrEx>
          <w:tblW w:w="14595" w:type="dxa"/>
          <w:tblInd w:w="-176" w:type="dxa"/>
          <w:tblLayout w:type="fixed"/>
          <w:tblLook w:val="04A0"/>
        </w:tblPrEx>
        <w:trPr>
          <w:trHeight w:val="65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14:paraId="53565FB3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14:paraId="33A23BA2" w14:textId="77777777">
            <w:pPr>
              <w:spacing w:after="0" w:line="216" w:lineRule="auto"/>
              <w:jc w:val="both"/>
              <w:rPr>
                <w:rFonts w:ascii="Times New Roman" w:hAnsi="Times New Roman"/>
                <w:iCs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2"/>
                <w:sz w:val="24"/>
                <w:szCs w:val="24"/>
              </w:rPr>
              <w:t>Матеріально технічне забезпечення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військової частини А7302 та добровольчих формувань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14:paraId="71D67503" w14:textId="77777777">
            <w:pPr>
              <w:spacing w:after="0" w:line="216" w:lineRule="auto"/>
              <w:ind w:left="35" w:firstLine="18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Придбання:</w:t>
            </w:r>
          </w:p>
          <w:p w:rsidR="00062B04" w14:paraId="4B53F903" w14:textId="77777777">
            <w:pPr>
              <w:spacing w:after="0" w:line="216" w:lineRule="auto"/>
              <w:ind w:left="35" w:firstLine="183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паливно-мастильних матеріалів для забезпечення виконання оборонних питань військової частини А7302 та добровольчих формувань.</w:t>
            </w:r>
          </w:p>
          <w:p w:rsidR="00062B04" w14:paraId="6F84CAEB" w14:textId="77777777">
            <w:pPr>
              <w:spacing w:after="0" w:line="216" w:lineRule="auto"/>
              <w:ind w:firstLine="183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матеріалів, товарів для облаштування приміщень, що використовують військова частина А7302 та добровольчі формування;</w:t>
            </w:r>
          </w:p>
          <w:p w:rsidR="00062B04" w14:paraId="5469899D" w14:textId="77777777">
            <w:pPr>
              <w:spacing w:after="0" w:line="216" w:lineRule="auto"/>
              <w:ind w:firstLine="218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господарських блоків та обладнання їх для проживання особового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складу військової частини та добровольців ДФТГ;</w:t>
            </w:r>
          </w:p>
          <w:p w:rsidR="00062B04" w14:paraId="6FD129C5" w14:textId="77777777">
            <w:pPr>
              <w:spacing w:after="0" w:line="216" w:lineRule="auto"/>
              <w:ind w:firstLine="218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одягу, спорядження та екіпірування.</w:t>
            </w:r>
          </w:p>
          <w:p w:rsidR="00062B04" w14:paraId="463C4D52" w14:textId="77777777">
            <w:pPr>
              <w:spacing w:after="0" w:line="216" w:lineRule="auto"/>
              <w:jc w:val="both"/>
              <w:rPr>
                <w:rFonts w:ascii="Times New Roman" w:eastAsia="Times New Roman" w:hAnsi="Times New Roman"/>
                <w:iCs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126F2C37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рік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14:paraId="4E000343" w14:textId="77777777">
            <w:pPr>
              <w:spacing w:after="0" w:line="216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062B04" w14:paraId="7189ED8A" w14:textId="77777777">
            <w:pPr>
              <w:spacing w:after="0" w:line="216" w:lineRule="auto"/>
              <w:jc w:val="center"/>
              <w:rPr>
                <w:rFonts w:ascii="Times New Roman" w:hAnsi="Times New Roman"/>
                <w:spacing w:val="3"/>
                <w:sz w:val="24"/>
                <w:szCs w:val="24"/>
              </w:rPr>
            </w:pPr>
          </w:p>
          <w:p w:rsidR="00062B04" w14:paraId="536ABCEB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  <w:p w:rsidR="00062B04" w14:paraId="40DE71E4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30C40E99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062B04" w14:paraId="6C70C418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3D1FB59E" w14:textId="77777777">
            <w:pPr>
              <w:pStyle w:val="NormalWeb"/>
              <w:spacing w:after="0" w:line="216" w:lineRule="auto"/>
              <w:jc w:val="center"/>
              <w:rPr>
                <w:spacing w:val="3"/>
                <w:lang w:val="uk-UA"/>
              </w:rPr>
            </w:pPr>
            <w:r>
              <w:rPr>
                <w:bCs/>
                <w:lang w:val="uk-UA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>
              <w:rPr>
                <w:lang w:val="uk-UA"/>
              </w:rPr>
              <w:t>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14:paraId="048753A1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  <w:p w:rsidR="00062B04" w14:paraId="56A00A2C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54B32D26" w14:textId="7777777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14:paraId="78D7EB9C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062B04" w14:paraId="0E76B397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7AD45B54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3FC09D8D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5B6903C3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66C22C00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421EE5E0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36658F1A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712FB248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4DD76C31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5C5E6D57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2D957EC5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5B2D0F13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6AA83EFD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5385701D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412ADA35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2401FCA5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7B46142A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4A808160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14:paraId="3EF00BED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5000,0</w:t>
            </w:r>
          </w:p>
          <w:p w:rsidR="00062B04" w14:paraId="1A066AF3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0341BCAE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0BF00EDE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13772236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5C6827A1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22C53B05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037603CA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617C0F1C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6F5C7DE2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4A5649B4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6B5648F1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68393B7C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76AC00A6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3FA1E321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40934886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6D5206DB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7EDDF904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62B04" w14:paraId="24A6F93A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7000,0</w:t>
            </w:r>
          </w:p>
        </w:tc>
      </w:tr>
      <w:tr w14:paraId="48081989" w14:textId="77777777" w:rsidTr="00062B04">
        <w:tblPrEx>
          <w:tblW w:w="14595" w:type="dxa"/>
          <w:tblInd w:w="-176" w:type="dxa"/>
          <w:tblLayout w:type="fixed"/>
          <w:tblLook w:val="04A0"/>
        </w:tblPrEx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04" w14:paraId="7781A9EB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04" w14:paraId="446094C8" w14:textId="77777777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04" w14:paraId="48389299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22 000,0</w:t>
            </w:r>
          </w:p>
          <w:p w:rsidR="00062B04" w14:paraId="3D5CDE89" w14:textId="7777777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04" w14:paraId="2ED1F747" w14:textId="7777777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22 000,0</w:t>
            </w:r>
          </w:p>
        </w:tc>
      </w:tr>
    </w:tbl>
    <w:p w:rsidR="00062B04" w:rsidP="00062B04" w14:paraId="79C88631" w14:textId="77777777">
      <w:pPr>
        <w:pStyle w:val="NoSpacing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05980" w:rsidRPr="003B2A39" w:rsidP="000D5820" w14:paraId="5A7E2DB2" w14:textId="5A058F2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                                                            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62B04"/>
    <w:rsid w:val="000C1A55"/>
    <w:rsid w:val="000D2B69"/>
    <w:rsid w:val="000D2C04"/>
    <w:rsid w:val="000D5820"/>
    <w:rsid w:val="0015514E"/>
    <w:rsid w:val="001A2F90"/>
    <w:rsid w:val="002D569F"/>
    <w:rsid w:val="003735BC"/>
    <w:rsid w:val="003B2A39"/>
    <w:rsid w:val="003C34B7"/>
    <w:rsid w:val="004208DA"/>
    <w:rsid w:val="00424AD7"/>
    <w:rsid w:val="0048154B"/>
    <w:rsid w:val="00485B7E"/>
    <w:rsid w:val="004B4285"/>
    <w:rsid w:val="00524AF7"/>
    <w:rsid w:val="00617517"/>
    <w:rsid w:val="00635D28"/>
    <w:rsid w:val="007D4BD6"/>
    <w:rsid w:val="0080414A"/>
    <w:rsid w:val="00853C00"/>
    <w:rsid w:val="008D02B5"/>
    <w:rsid w:val="009E4B16"/>
    <w:rsid w:val="00A6483F"/>
    <w:rsid w:val="00A84A56"/>
    <w:rsid w:val="00AD71FB"/>
    <w:rsid w:val="00B20C04"/>
    <w:rsid w:val="00BA739E"/>
    <w:rsid w:val="00C05980"/>
    <w:rsid w:val="00C42048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NormalWeb">
    <w:name w:val="Normal (Web)"/>
    <w:basedOn w:val="Normal"/>
    <w:uiPriority w:val="99"/>
    <w:semiHidden/>
    <w:unhideWhenUsed/>
    <w:rsid w:val="00062B0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062B04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8F5224"/>
    <w:rsid w:val="00A61E17"/>
    <w:rsid w:val="00AD71FB"/>
    <w:rsid w:val="00BC038D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2287</Words>
  <Characters>1304</Characters>
  <Application>Microsoft Office Word</Application>
  <DocSecurity>8</DocSecurity>
  <Lines>10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8</cp:revision>
  <dcterms:created xsi:type="dcterms:W3CDTF">2022-10-03T09:10:00Z</dcterms:created>
  <dcterms:modified xsi:type="dcterms:W3CDTF">2022-12-14T08:48:00Z</dcterms:modified>
</cp:coreProperties>
</file>