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ПВ-749</w:t>
      </w:r>
    </w:p>
    <w:p>
      <w:pPr>
        <w:tabs>
          <w:tab w:val="left" w:pos="5610"/>
          <w:tab w:val="left" w:pos="6358"/>
        </w:tabs>
        <w:spacing w:beforeAutospacing="0" w:after="0" w:afterAutospacing="0"/>
        <w:ind w:left="5103"/>
        <w:jc w:val="center"/>
        <w:rPr>
          <w:rFonts w:ascii="Times New Roman" w:hAnsi="Times New Roman"/>
          <w:b/>
          <w:bCs/>
          <w:sz w:val="24"/>
          <w:szCs w:val="24"/>
        </w:rPr>
      </w:pPr>
    </w:p>
    <w:tbl>
      <w:tblPr>
        <w:tblW w:w="10065" w:type="dxa"/>
        <w:tblInd w:w="-176" w:type="dxa"/>
        <w:tblLayout w:type="fixed"/>
        <w:tblLook w:val="04A0"/>
      </w:tblPr>
      <w:tblGrid>
        <w:gridCol w:w="5612"/>
        <w:gridCol w:w="4453"/>
      </w:tblGrid>
      <w:tr>
        <w:tblPrEx>
          <w:tblW w:w="10065" w:type="dxa"/>
          <w:tblInd w:w="-176" w:type="dxa"/>
          <w:tblLayout w:type="fixed"/>
          <w:tblLook w:val="04A0"/>
        </w:tblPrEx>
        <w:tc>
          <w:tcPr>
            <w:tcW w:w="5612" w:type="dxa"/>
            <w:shd w:val="clear" w:color="auto" w:fill="auto"/>
          </w:tcPr>
          <w:p>
            <w:pPr>
              <w:tabs>
                <w:tab w:val="left" w:pos="0"/>
                <w:tab w:val="left" w:pos="5760"/>
              </w:tabs>
              <w:spacing w:beforeAutospacing="0" w:after="0" w:afterAutospacing="0" w:line="240" w:lineRule="auto"/>
              <w:jc w:val="center"/>
              <w:rPr>
                <w:rFonts w:ascii="Times New Roman" w:hAnsi="Times New Roman"/>
                <w:sz w:val="24"/>
                <w:szCs w:val="24"/>
              </w:rPr>
            </w:pPr>
            <w:permStart w:id="0" w:edGrp="everyone"/>
          </w:p>
        </w:tc>
        <w:tc>
          <w:tcPr>
            <w:tcW w:w="4453" w:type="dxa"/>
            <w:shd w:val="clear" w:color="auto" w:fill="auto"/>
          </w:tcPr>
          <w:p>
            <w:pPr>
              <w:tabs>
                <w:tab w:val="left" w:pos="0"/>
                <w:tab w:val="left" w:pos="5760"/>
              </w:tabs>
              <w:spacing w:beforeAutospacing="0" w:after="0" w:afterAutospacing="0" w:line="240" w:lineRule="auto"/>
              <w:jc w:val="center"/>
              <w:rPr>
                <w:rFonts w:ascii="Times New Roman" w:hAnsi="Times New Roman"/>
                <w:sz w:val="24"/>
                <w:szCs w:val="24"/>
              </w:rPr>
            </w:pPr>
            <w:r>
              <w:rPr>
                <w:rFonts w:ascii="Times New Roman" w:hAnsi="Times New Roman"/>
                <w:sz w:val="24"/>
                <w:szCs w:val="24"/>
              </w:rPr>
              <w:t>Додаток 2</w:t>
            </w:r>
          </w:p>
          <w:p>
            <w:pPr>
              <w:tabs>
                <w:tab w:val="left" w:pos="0"/>
                <w:tab w:val="left" w:pos="5760"/>
              </w:tabs>
              <w:spacing w:beforeAutospacing="0" w:after="0" w:afterAutospacing="0" w:line="240" w:lineRule="auto"/>
              <w:jc w:val="center"/>
              <w:rPr>
                <w:rFonts w:ascii="Times New Roman" w:hAnsi="Times New Roman"/>
                <w:sz w:val="24"/>
                <w:szCs w:val="24"/>
              </w:rPr>
            </w:pPr>
            <w:r>
              <w:rPr>
                <w:rFonts w:ascii="Times New Roman" w:hAnsi="Times New Roman"/>
                <w:sz w:val="24"/>
                <w:szCs w:val="24"/>
              </w:rPr>
              <w:t xml:space="preserve">Рішення виконавчого комітету                                                                        Броварської міської ради Броварського району </w:t>
            </w:r>
          </w:p>
          <w:p>
            <w:pPr>
              <w:tabs>
                <w:tab w:val="left" w:pos="0"/>
                <w:tab w:val="left" w:pos="5760"/>
              </w:tabs>
              <w:spacing w:beforeAutospacing="0" w:after="0" w:afterAutospacing="0" w:line="240" w:lineRule="auto"/>
              <w:jc w:val="center"/>
              <w:rPr>
                <w:rFonts w:ascii="Times New Roman" w:hAnsi="Times New Roman"/>
                <w:sz w:val="24"/>
                <w:szCs w:val="24"/>
              </w:rPr>
            </w:pPr>
            <w:r>
              <w:rPr>
                <w:rFonts w:ascii="Times New Roman" w:hAnsi="Times New Roman"/>
                <w:sz w:val="24"/>
                <w:szCs w:val="24"/>
              </w:rPr>
              <w:t>Київської області</w:t>
            </w:r>
          </w:p>
          <w:p>
            <w:pPr>
              <w:tabs>
                <w:tab w:val="left" w:pos="0"/>
                <w:tab w:val="left" w:pos="5760"/>
              </w:tabs>
              <w:spacing w:beforeAutospacing="0" w:after="0" w:afterAutospacing="0" w:line="240" w:lineRule="auto"/>
              <w:jc w:val="center"/>
              <w:rPr>
                <w:rFonts w:ascii="Times New Roman" w:hAnsi="Times New Roman"/>
                <w:sz w:val="24"/>
                <w:szCs w:val="24"/>
              </w:rPr>
            </w:pPr>
            <w:r>
              <w:rPr>
                <w:rFonts w:ascii="Times New Roman" w:hAnsi="Times New Roman"/>
                <w:sz w:val="24"/>
                <w:szCs w:val="24"/>
              </w:rPr>
              <w:t>від ________________ № _________</w:t>
            </w:r>
          </w:p>
          <w:p>
            <w:pPr>
              <w:tabs>
                <w:tab w:val="left" w:pos="0"/>
                <w:tab w:val="left" w:pos="5760"/>
              </w:tabs>
              <w:spacing w:beforeAutospacing="0" w:after="0" w:afterAutospacing="0" w:line="240" w:lineRule="auto"/>
              <w:jc w:val="center"/>
              <w:rPr>
                <w:rFonts w:ascii="Times New Roman" w:hAnsi="Times New Roman"/>
                <w:sz w:val="24"/>
                <w:szCs w:val="24"/>
              </w:rPr>
            </w:pPr>
          </w:p>
          <w:p>
            <w:pPr>
              <w:tabs>
                <w:tab w:val="left" w:pos="0"/>
                <w:tab w:val="left" w:pos="5760"/>
              </w:tabs>
              <w:spacing w:beforeAutospacing="0" w:after="0" w:afterAutospacing="0" w:line="240" w:lineRule="auto"/>
              <w:jc w:val="center"/>
              <w:rPr>
                <w:rFonts w:ascii="Times New Roman" w:hAnsi="Times New Roman"/>
                <w:sz w:val="24"/>
                <w:szCs w:val="24"/>
              </w:rPr>
            </w:pPr>
          </w:p>
        </w:tc>
      </w:tr>
    </w:tbl>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Умови передачі в оренду об’єкта комунальної власності Броварської міської територіальної громади без аукціону</w:t>
      </w:r>
    </w:p>
    <w:p>
      <w:pPr>
        <w:spacing w:beforeAutospacing="0" w:after="0" w:afterAutospacing="0" w:line="240" w:lineRule="auto"/>
        <w:jc w:val="center"/>
        <w:rPr>
          <w:rFonts w:ascii="Times New Roman" w:hAnsi="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44"/>
        <w:gridCol w:w="6262"/>
      </w:tblGrid>
      <w:tr>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344" w:type="dxa"/>
          </w:tcPr>
          <w:p>
            <w:pPr>
              <w:spacing w:beforeAutospacing="0" w:after="0" w:afterAutospacing="0" w:line="240" w:lineRule="auto"/>
              <w:rPr>
                <w:rFonts w:ascii="Times New Roman" w:hAnsi="Times New Roman"/>
                <w:sz w:val="24"/>
                <w:szCs w:val="24"/>
                <w:u w:val="single"/>
              </w:rPr>
            </w:pPr>
            <w:r>
              <w:rPr>
                <w:rFonts w:ascii="Times New Roman" w:hAnsi="Times New Roman"/>
                <w:sz w:val="24"/>
                <w:szCs w:val="24"/>
              </w:rPr>
              <w:t>Назва інформаційного повідомлення про передачу об’єкта оренди без проведення аукціону</w:t>
            </w:r>
          </w:p>
        </w:tc>
        <w:tc>
          <w:tcPr>
            <w:tcW w:w="6262" w:type="dxa"/>
            <w:shd w:val="clear" w:color="auto" w:fill="auto"/>
          </w:tcPr>
          <w:p>
            <w:pPr>
              <w:spacing w:beforeAutospacing="0" w:after="0" w:afterAutospacing="0" w:line="240" w:lineRule="auto"/>
              <w:jc w:val="both"/>
              <w:rPr>
                <w:rFonts w:ascii="Times New Roman" w:hAnsi="Times New Roman"/>
                <w:spacing w:val="-6"/>
                <w:sz w:val="24"/>
                <w:szCs w:val="24"/>
              </w:rPr>
            </w:pPr>
            <w:r>
              <w:rPr>
                <w:rFonts w:ascii="Times New Roman" w:hAnsi="Times New Roman"/>
                <w:spacing w:val="-6"/>
                <w:sz w:val="24"/>
                <w:szCs w:val="24"/>
              </w:rPr>
              <w:t>Оренда  спортивного майданчику  площею 3600 кв.м., за адресою: Київська область, Броварський район, місто Бровари, вулиця Героїв Небесної Сотні, будинок 13</w:t>
            </w:r>
          </w:p>
        </w:tc>
      </w:tr>
      <w:tr>
        <w:tblPrEx>
          <w:tblW w:w="9606" w:type="dxa"/>
          <w:tblLayout w:type="fixed"/>
          <w:tblLook w:val="00A0"/>
        </w:tblPrEx>
        <w:trPr>
          <w:trHeight w:val="690"/>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Дата, номер, назва  рішення </w:t>
            </w:r>
          </w:p>
        </w:tc>
        <w:tc>
          <w:tcPr>
            <w:tcW w:w="6262" w:type="dxa"/>
            <w:shd w:val="clear" w:color="auto" w:fill="auto"/>
          </w:tcPr>
          <w:p>
            <w:pPr>
              <w:pStyle w:val="Title"/>
              <w:tabs>
                <w:tab w:val="left" w:pos="1820"/>
                <w:tab w:val="left" w:pos="3402"/>
                <w:tab w:val="left" w:pos="4111"/>
                <w:tab w:val="left" w:pos="4253"/>
                <w:tab w:val="left" w:pos="4536"/>
              </w:tabs>
              <w:jc w:val="both"/>
              <w:rPr>
                <w:sz w:val="24"/>
                <w:szCs w:val="24"/>
              </w:rPr>
            </w:pPr>
            <w:r>
              <w:rPr>
                <w:bCs/>
                <w:sz w:val="24"/>
                <w:szCs w:val="24"/>
              </w:rPr>
              <w:t>Рішення  виконавчого комітету Броварської міської ради Броварського району Київської області від 04.07.2023 № 504 «Про включення до Переліків другого типу та передачу в оренду об’єктів комунальної власності Броварської міської територіальної громади</w:t>
            </w:r>
            <w:r>
              <w:rPr>
                <w:sz w:val="24"/>
                <w:szCs w:val="24"/>
              </w:rPr>
              <w:t xml:space="preserve"> без аукціону</w:t>
            </w:r>
            <w:r>
              <w:rPr>
                <w:spacing w:val="-6"/>
                <w:sz w:val="24"/>
                <w:szCs w:val="24"/>
              </w:rPr>
              <w:t>»</w:t>
            </w:r>
          </w:p>
        </w:tc>
      </w:tr>
      <w:tr>
        <w:tblPrEx>
          <w:tblW w:w="9606" w:type="dxa"/>
          <w:tblLayout w:type="fixed"/>
          <w:tblLook w:val="00A0"/>
        </w:tblPrEx>
        <w:trPr>
          <w:trHeight w:val="690"/>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Повне найменування та адреса орендодавця</w:t>
            </w:r>
          </w:p>
          <w:p>
            <w:pPr>
              <w:spacing w:beforeAutospacing="0" w:after="0" w:afterAutospacing="0" w:line="240" w:lineRule="auto"/>
              <w:rPr>
                <w:rFonts w:ascii="Times New Roman" w:hAnsi="Times New Roman"/>
                <w:sz w:val="24"/>
                <w:szCs w:val="24"/>
              </w:rPr>
            </w:pPr>
          </w:p>
        </w:tc>
        <w:tc>
          <w:tcPr>
            <w:tcW w:w="6262" w:type="dxa"/>
            <w:shd w:val="clear" w:color="auto" w:fill="auto"/>
          </w:tcPr>
          <w:p>
            <w:pPr>
              <w:tabs>
                <w:tab w:val="left" w:pos="132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pPr>
              <w:tabs>
                <w:tab w:val="left" w:pos="132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lang w:val="en-US"/>
              </w:rPr>
              <w:t>ukv</w:t>
            </w:r>
            <w:r>
              <w:rPr>
                <w:rFonts w:ascii="Times New Roman" w:hAnsi="Times New Roman"/>
                <w:sz w:val="24"/>
                <w:szCs w:val="24"/>
              </w:rPr>
              <w:t>_</w:t>
            </w:r>
            <w:r>
              <w:rPr>
                <w:rFonts w:ascii="Times New Roman" w:hAnsi="Times New Roman"/>
                <w:sz w:val="24"/>
                <w:szCs w:val="24"/>
                <w:lang w:val="en-US"/>
              </w:rPr>
              <w:t>bmr</w:t>
            </w:r>
            <w:r>
              <w:rPr>
                <w:rFonts w:ascii="Times New Roman" w:hAnsi="Times New Roman"/>
                <w:sz w:val="24"/>
                <w:szCs w:val="24"/>
              </w:rPr>
              <w:t>@</w:t>
            </w:r>
            <w:r>
              <w:rPr>
                <w:rFonts w:ascii="Times New Roman" w:hAnsi="Times New Roman"/>
                <w:sz w:val="24"/>
                <w:szCs w:val="24"/>
                <w:lang w:val="en-US"/>
              </w:rPr>
              <w:t>ukr</w:t>
            </w:r>
            <w:r>
              <w:rPr>
                <w:rFonts w:ascii="Times New Roman" w:hAnsi="Times New Roman"/>
                <w:sz w:val="24"/>
                <w:szCs w:val="24"/>
              </w:rPr>
              <w:t>.</w:t>
            </w:r>
            <w:r>
              <w:rPr>
                <w:rFonts w:ascii="Times New Roman" w:hAnsi="Times New Roman"/>
                <w:sz w:val="24"/>
                <w:szCs w:val="24"/>
                <w:lang w:val="en-US"/>
              </w:rPr>
              <w:t>net</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Повне найменування та адреса балансоутримувача</w:t>
            </w:r>
          </w:p>
        </w:tc>
        <w:tc>
          <w:tcPr>
            <w:tcW w:w="6262" w:type="dxa"/>
          </w:tcPr>
          <w:p>
            <w:pPr>
              <w:spacing w:beforeAutospacing="0" w:after="0" w:afterAutospacing="0" w:line="240" w:lineRule="auto"/>
              <w:jc w:val="both"/>
              <w:rPr>
                <w:rFonts w:ascii="Times New Roman" w:hAnsi="Times New Roman"/>
                <w:sz w:val="24"/>
                <w:szCs w:val="24"/>
              </w:rPr>
            </w:pPr>
            <w:r>
              <w:rPr>
                <w:rFonts w:ascii="Times New Roman" w:hAnsi="Times New Roman"/>
                <w:spacing w:val="-6"/>
                <w:sz w:val="24"/>
                <w:szCs w:val="24"/>
              </w:rPr>
              <w:t>Броварський ліцей № 9 Броварської міської ради Броварського району Київської області</w:t>
            </w:r>
            <w:r>
              <w:rPr>
                <w:rFonts w:ascii="Times New Roman" w:hAnsi="Times New Roman"/>
                <w:sz w:val="24"/>
                <w:szCs w:val="24"/>
              </w:rPr>
              <w:t xml:space="preserve">, що знаходиться що знаходиться за адресою: </w:t>
            </w:r>
            <w:r>
              <w:rPr>
                <w:rFonts w:ascii="Times New Roman" w:hAnsi="Times New Roman"/>
                <w:spacing w:val="-1"/>
                <w:w w:val="101"/>
                <w:sz w:val="24"/>
                <w:szCs w:val="24"/>
              </w:rPr>
              <w:t>вулиця Героїв Небесної Сотні, 13</w:t>
            </w:r>
            <w:r>
              <w:rPr>
                <w:rFonts w:ascii="Times New Roman" w:hAnsi="Times New Roman"/>
                <w:sz w:val="24"/>
                <w:szCs w:val="24"/>
              </w:rPr>
              <w:t>, місто Бровари, Броварського району, Київської області, 07400, телефон: (04594) 6-16-35,</w:t>
            </w:r>
          </w:p>
          <w:p>
            <w:pPr>
              <w:pStyle w:val="BodyText"/>
              <w:rPr>
                <w:sz w:val="24"/>
                <w:szCs w:val="24"/>
              </w:rPr>
            </w:pPr>
            <w:r>
              <w:rPr>
                <w:sz w:val="24"/>
                <w:szCs w:val="24"/>
                <w:lang w:val="en-US"/>
              </w:rPr>
              <w:t>e</w:t>
            </w:r>
            <w:r>
              <w:rPr>
                <w:sz w:val="24"/>
                <w:szCs w:val="24"/>
              </w:rPr>
              <w:t>-</w:t>
            </w:r>
            <w:r>
              <w:rPr>
                <w:sz w:val="24"/>
                <w:szCs w:val="24"/>
                <w:lang w:val="en-US"/>
              </w:rPr>
              <w:t>mail</w:t>
            </w:r>
            <w:r>
              <w:rPr>
                <w:sz w:val="24"/>
                <w:szCs w:val="24"/>
              </w:rPr>
              <w:t>: school_nine@i.ua</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Графік роботи Броварського ліцею </w:t>
            </w:r>
            <w:r>
              <w:rPr>
                <w:rFonts w:ascii="Times New Roman" w:hAnsi="Times New Roman"/>
                <w:spacing w:val="-4"/>
                <w:sz w:val="24"/>
                <w:szCs w:val="24"/>
              </w:rPr>
              <w:t xml:space="preserve">№9 Броварської міської ради Броварського району Київської області </w:t>
            </w:r>
          </w:p>
        </w:tc>
        <w:tc>
          <w:tcPr>
            <w:tcW w:w="6262" w:type="dxa"/>
          </w:tcPr>
          <w:p>
            <w:pPr>
              <w:tabs>
                <w:tab w:val="left" w:pos="1320"/>
              </w:tabs>
              <w:spacing w:beforeAutospacing="0" w:after="0" w:afterAutospacing="0" w:line="240" w:lineRule="auto"/>
              <w:jc w:val="both"/>
              <w:rPr>
                <w:rFonts w:ascii="Times New Roman" w:hAnsi="Times New Roman"/>
                <w:spacing w:val="-4"/>
                <w:sz w:val="24"/>
                <w:szCs w:val="24"/>
              </w:rPr>
            </w:pPr>
            <w:r>
              <w:rPr>
                <w:rFonts w:ascii="Times New Roman" w:hAnsi="Times New Roman"/>
                <w:spacing w:val="-4"/>
                <w:sz w:val="24"/>
                <w:szCs w:val="24"/>
              </w:rPr>
              <w:t>Середня кількість годин роботи закладу в день – 1</w:t>
            </w:r>
            <w:r>
              <w:rPr>
                <w:rFonts w:ascii="Times New Roman" w:hAnsi="Times New Roman"/>
                <w:spacing w:val="-4"/>
                <w:sz w:val="24"/>
                <w:szCs w:val="24"/>
                <w:lang w:val="ru-RU"/>
              </w:rPr>
              <w:t xml:space="preserve">1 </w:t>
            </w:r>
            <w:r>
              <w:rPr>
                <w:rFonts w:ascii="Times New Roman" w:hAnsi="Times New Roman"/>
                <w:spacing w:val="-4"/>
                <w:sz w:val="24"/>
                <w:szCs w:val="24"/>
              </w:rPr>
              <w:t>годин;</w:t>
            </w:r>
          </w:p>
          <w:p>
            <w:pPr>
              <w:tabs>
                <w:tab w:val="left" w:pos="1320"/>
              </w:tabs>
              <w:spacing w:beforeAutospacing="0" w:after="0" w:afterAutospacing="0" w:line="240" w:lineRule="auto"/>
              <w:jc w:val="both"/>
              <w:rPr>
                <w:rFonts w:ascii="Times New Roman" w:hAnsi="Times New Roman"/>
                <w:spacing w:val="-4"/>
                <w:sz w:val="24"/>
                <w:szCs w:val="24"/>
              </w:rPr>
            </w:pPr>
            <w:r>
              <w:rPr>
                <w:rFonts w:ascii="Times New Roman" w:hAnsi="Times New Roman"/>
                <w:spacing w:val="-4"/>
                <w:sz w:val="24"/>
                <w:szCs w:val="24"/>
              </w:rPr>
              <w:t>Середня кількість робочих днів на місяць – 2</w:t>
            </w:r>
            <w:r>
              <w:rPr>
                <w:rFonts w:ascii="Times New Roman" w:hAnsi="Times New Roman"/>
                <w:spacing w:val="-4"/>
                <w:sz w:val="24"/>
                <w:szCs w:val="24"/>
                <w:lang w:val="ru-RU"/>
              </w:rPr>
              <w:t>5</w:t>
            </w:r>
            <w:r>
              <w:rPr>
                <w:rFonts w:ascii="Times New Roman" w:hAnsi="Times New Roman"/>
                <w:spacing w:val="-4"/>
                <w:sz w:val="24"/>
                <w:szCs w:val="24"/>
              </w:rPr>
              <w:t xml:space="preserve"> день</w:t>
            </w:r>
          </w:p>
        </w:tc>
      </w:tr>
      <w:tr>
        <w:tblPrEx>
          <w:tblW w:w="9606" w:type="dxa"/>
          <w:tblLayout w:type="fixed"/>
          <w:tblLook w:val="00A0"/>
        </w:tblPrEx>
        <w:trPr>
          <w:trHeight w:val="777"/>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Інформація про об’єкт оренди</w:t>
            </w:r>
          </w:p>
        </w:tc>
        <w:tc>
          <w:tcPr>
            <w:tcW w:w="6262" w:type="dxa"/>
          </w:tcPr>
          <w:p>
            <w:pPr>
              <w:spacing w:beforeAutospacing="0" w:after="0" w:afterAutospacing="0" w:line="240" w:lineRule="auto"/>
              <w:jc w:val="both"/>
              <w:rPr>
                <w:rFonts w:ascii="Times New Roman" w:hAnsi="Times New Roman"/>
                <w:spacing w:val="-6"/>
                <w:sz w:val="24"/>
                <w:szCs w:val="24"/>
              </w:rPr>
            </w:pPr>
            <w:r>
              <w:rPr>
                <w:rFonts w:ascii="Times New Roman" w:hAnsi="Times New Roman"/>
                <w:spacing w:val="-6"/>
                <w:sz w:val="24"/>
                <w:szCs w:val="24"/>
              </w:rPr>
              <w:t>Спортивний  майданчик  площею 3600 кв.м., за адресою: Київська область, Броварський район, місто Бровари, вулиця Героїв Небесної Сотні, будинок 13.</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Часи використання об’єкта</w:t>
            </w:r>
            <w:r>
              <w:rPr>
                <w:rFonts w:ascii="Times New Roman" w:hAnsi="Times New Roman"/>
                <w:color w:val="FF0000"/>
                <w:sz w:val="24"/>
                <w:szCs w:val="24"/>
              </w:rPr>
              <w:t>:</w:t>
            </w:r>
            <w:r>
              <w:rPr>
                <w:rFonts w:ascii="Times New Roman" w:hAnsi="Times New Roman"/>
                <w:color w:val="000000"/>
                <w:sz w:val="24"/>
                <w:szCs w:val="24"/>
              </w:rPr>
              <w:t xml:space="preserve"> вівторок, четвер з 18:30 по 20:00  </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Інформація про чинний договір оренди</w:t>
            </w:r>
          </w:p>
        </w:tc>
        <w:tc>
          <w:tcPr>
            <w:tcW w:w="6262" w:type="dxa"/>
          </w:tcPr>
          <w:p>
            <w:pPr>
              <w:spacing w:beforeAutospacing="0" w:after="0" w:afterAutospacing="0" w:line="240" w:lineRule="auto"/>
              <w:jc w:val="both"/>
              <w:rPr>
                <w:rFonts w:ascii="Times New Roman" w:hAnsi="Times New Roman"/>
                <w:bCs/>
                <w:spacing w:val="-4"/>
                <w:sz w:val="24"/>
                <w:szCs w:val="24"/>
              </w:rPr>
            </w:pPr>
            <w:r>
              <w:rPr>
                <w:rFonts w:ascii="Times New Roman" w:hAnsi="Times New Roman"/>
                <w:bCs/>
                <w:spacing w:val="-4"/>
                <w:sz w:val="24"/>
                <w:szCs w:val="24"/>
              </w:rPr>
              <w:t>-</w:t>
            </w:r>
          </w:p>
        </w:tc>
      </w:tr>
      <w:tr>
        <w:tblPrEx>
          <w:tblW w:w="9606" w:type="dxa"/>
          <w:tblLayout w:type="fixed"/>
          <w:tblLook w:val="00A0"/>
        </w:tblPrEx>
        <w:trPr>
          <w:trHeight w:val="292"/>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Вартість об'єкта оренди</w:t>
            </w:r>
          </w:p>
        </w:tc>
        <w:tc>
          <w:tcPr>
            <w:tcW w:w="6262" w:type="dxa"/>
          </w:tcPr>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Вартість об’єкта оренди згідно з висновком про вартість майна станом на 31 липня 2023 року становить, без ПДВ 2 372 189,00 грн. </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Тип об’єкта</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нерухоме майно</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Пропонований  строк оренди</w:t>
            </w:r>
          </w:p>
        </w:tc>
        <w:tc>
          <w:tcPr>
            <w:tcW w:w="6262" w:type="dxa"/>
          </w:tcPr>
          <w:p>
            <w:pPr>
              <w:spacing w:beforeAutospacing="0" w:after="0" w:afterAutospacing="0" w:line="240" w:lineRule="auto"/>
              <w:rPr>
                <w:rFonts w:ascii="Times New Roman" w:hAnsi="Times New Roman"/>
                <w:sz w:val="24"/>
                <w:szCs w:val="24"/>
                <w:lang w:val="ru-RU"/>
              </w:rPr>
            </w:pPr>
            <w:r>
              <w:rPr>
                <w:rFonts w:ascii="Times New Roman" w:hAnsi="Times New Roman"/>
                <w:sz w:val="24"/>
                <w:szCs w:val="24"/>
              </w:rPr>
              <w:t xml:space="preserve">5 років </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Інформація про отримання погодження органу управління</w:t>
            </w:r>
          </w:p>
        </w:tc>
        <w:tc>
          <w:tcPr>
            <w:tcW w:w="6262" w:type="dxa"/>
          </w:tcPr>
          <w:p>
            <w:pPr>
              <w:tabs>
                <w:tab w:val="left" w:pos="-1134"/>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Фотографічне зображення майна</w:t>
            </w:r>
          </w:p>
        </w:tc>
        <w:tc>
          <w:tcPr>
            <w:tcW w:w="6262" w:type="dxa"/>
          </w:tcPr>
          <w:p>
            <w:pPr>
              <w:spacing w:beforeAutospacing="0" w:after="0" w:afterAutospacing="0" w:line="240" w:lineRule="auto"/>
              <w:ind w:hanging="11"/>
              <w:jc w:val="both"/>
              <w:rPr>
                <w:rFonts w:ascii="Times New Roman" w:hAnsi="Times New Roman"/>
                <w:sz w:val="24"/>
                <w:szCs w:val="24"/>
              </w:rPr>
            </w:pPr>
            <w:r>
              <w:rPr>
                <w:rFonts w:ascii="Times New Roman" w:hAnsi="Times New Roman"/>
                <w:sz w:val="24"/>
                <w:szCs w:val="24"/>
              </w:rPr>
              <w:t xml:space="preserve">Додається </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Загальна і корисна площа об’єкта</w:t>
            </w:r>
          </w:p>
        </w:tc>
        <w:tc>
          <w:tcPr>
            <w:tcW w:w="6262" w:type="dxa"/>
          </w:tcPr>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загальна площа </w:t>
            </w:r>
            <w:r>
              <w:rPr>
                <w:rFonts w:ascii="Times New Roman" w:hAnsi="Times New Roman"/>
                <w:spacing w:val="-6"/>
                <w:sz w:val="24"/>
                <w:szCs w:val="24"/>
              </w:rPr>
              <w:t>3600,00 кв.м.</w:t>
            </w:r>
            <w:r>
              <w:rPr>
                <w:rFonts w:ascii="Times New Roman" w:hAnsi="Times New Roman"/>
                <w:sz w:val="24"/>
                <w:szCs w:val="24"/>
              </w:rPr>
              <w:t xml:space="preserve">, </w:t>
            </w:r>
            <w:r>
              <w:rPr>
                <w:rFonts w:ascii="Times New Roman" w:hAnsi="Times New Roman"/>
                <w:spacing w:val="-6"/>
                <w:sz w:val="24"/>
                <w:szCs w:val="24"/>
              </w:rPr>
              <w:t>корисна площа 3600,00 кв.м.</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Технічний стан, інформація про потужність електромережі і забезпечення комунікаціями </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Технічний стан об’єкта – задовільний</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Технічний план об’єкта </w:t>
            </w:r>
          </w:p>
        </w:tc>
        <w:tc>
          <w:tcPr>
            <w:tcW w:w="6262" w:type="dxa"/>
          </w:tcPr>
          <w:p>
            <w:pPr>
              <w:spacing w:beforeAutospacing="0" w:after="0" w:afterAutospacing="0" w:line="240" w:lineRule="auto"/>
              <w:rPr>
                <w:rFonts w:ascii="Times New Roman" w:hAnsi="Times New Roman"/>
                <w:color w:val="C00000"/>
                <w:sz w:val="24"/>
                <w:szCs w:val="24"/>
              </w:rPr>
            </w:pPr>
            <w:r>
              <w:rPr>
                <w:rFonts w:ascii="Times New Roman" w:hAnsi="Times New Roman"/>
                <w:sz w:val="24"/>
                <w:szCs w:val="24"/>
              </w:rPr>
              <w:t>Додається</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lang w:val="ru-RU"/>
              </w:rPr>
            </w:pPr>
            <w:r>
              <w:rPr>
                <w:rFonts w:ascii="Times New Roman" w:hAnsi="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Об’</w:t>
            </w:r>
            <w:r>
              <w:rPr>
                <w:rFonts w:ascii="Times New Roman" w:hAnsi="Times New Roman"/>
                <w:sz w:val="24"/>
                <w:szCs w:val="24"/>
                <w:lang w:val="ru-RU"/>
              </w:rPr>
              <w:t xml:space="preserve">єкт не є </w:t>
            </w:r>
            <w:r>
              <w:rPr>
                <w:rFonts w:ascii="Times New Roman" w:hAnsi="Times New Roman"/>
                <w:color w:val="000000"/>
                <w:sz w:val="24"/>
                <w:szCs w:val="24"/>
                <w:lang w:val="ru-RU"/>
              </w:rPr>
              <w:t>пам’ятк</w:t>
            </w:r>
            <w:r>
              <w:rPr>
                <w:rFonts w:ascii="Times New Roman" w:hAnsi="Times New Roman"/>
                <w:color w:val="000000"/>
                <w:sz w:val="24"/>
                <w:szCs w:val="24"/>
              </w:rPr>
              <w:t>ою культурної спадщини</w:t>
            </w:r>
          </w:p>
        </w:tc>
      </w:tr>
      <w:tr>
        <w:tblPrEx>
          <w:tblW w:w="9606" w:type="dxa"/>
          <w:tblLayout w:type="fixed"/>
          <w:tblLook w:val="00A0"/>
        </w:tblPrEx>
        <w:tc>
          <w:tcPr>
            <w:tcW w:w="3344"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sz w:val="24"/>
                <w:szCs w:val="24"/>
              </w:rPr>
            </w:pPr>
            <w:r>
              <w:rPr>
                <w:rFonts w:ascii="Times New Roman" w:hAnsi="Times New Roman"/>
                <w:sz w:val="24"/>
                <w:szCs w:val="24"/>
              </w:rPr>
              <w:t>Наявність погодження органу охорони культурної спадщини на передачу об'єкта в оренду</w:t>
            </w:r>
          </w:p>
        </w:tc>
        <w:tc>
          <w:tcPr>
            <w:tcW w:w="6262" w:type="dxa"/>
            <w:tcBorders>
              <w:top w:val="single" w:sz="4" w:space="0" w:color="000000"/>
              <w:left w:val="single" w:sz="4" w:space="0" w:color="000000"/>
              <w:bottom w:val="single" w:sz="4" w:space="0" w:color="000000"/>
              <w:right w:val="single" w:sz="4" w:space="0" w:color="000000"/>
            </w:tcBorders>
          </w:tcPr>
          <w:p>
            <w:pPr>
              <w:tabs>
                <w:tab w:val="left" w:pos="72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Не потребує</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262" w:type="dxa"/>
          </w:tcPr>
          <w:p>
            <w:pPr>
              <w:tabs>
                <w:tab w:val="left" w:pos="72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внутрішньобудинкових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Проєкт договору </w:t>
            </w:r>
          </w:p>
        </w:tc>
        <w:tc>
          <w:tcPr>
            <w:tcW w:w="6262" w:type="dxa"/>
          </w:tcPr>
          <w:p>
            <w:pPr>
              <w:spacing w:beforeAutospacing="0" w:after="0" w:afterAutospacing="0" w:line="240" w:lineRule="auto"/>
              <w:jc w:val="both"/>
              <w:rPr>
                <w:rFonts w:ascii="Times New Roman" w:hAnsi="Times New Roman"/>
                <w:sz w:val="24"/>
                <w:szCs w:val="24"/>
                <w:highlight w:val="yellow"/>
              </w:rPr>
            </w:pPr>
            <w:r>
              <w:rPr>
                <w:rFonts w:ascii="Times New Roman" w:hAnsi="Times New Roman"/>
                <w:sz w:val="24"/>
                <w:szCs w:val="24"/>
              </w:rPr>
              <w:t xml:space="preserve">Додається  до оголошення про передачу нерухомого майна в оренду </w:t>
            </w:r>
          </w:p>
        </w:tc>
      </w:tr>
      <w:tr>
        <w:tblPrEx>
          <w:tblW w:w="9606" w:type="dxa"/>
          <w:tblLayout w:type="fixed"/>
          <w:tblLook w:val="00A0"/>
        </w:tblPrEx>
        <w:tc>
          <w:tcPr>
            <w:tcW w:w="9606" w:type="dxa"/>
            <w:gridSpan w:val="2"/>
          </w:tcPr>
          <w:p>
            <w:pPr>
              <w:spacing w:beforeAutospacing="0" w:after="0" w:afterAutospacing="0" w:line="240" w:lineRule="auto"/>
              <w:rPr>
                <w:rFonts w:ascii="Times New Roman" w:hAnsi="Times New Roman"/>
                <w:sz w:val="24"/>
                <w:szCs w:val="24"/>
              </w:rPr>
            </w:pPr>
            <w:r>
              <w:rPr>
                <w:rFonts w:ascii="Times New Roman" w:hAnsi="Times New Roman"/>
                <w:sz w:val="24"/>
                <w:szCs w:val="24"/>
              </w:rPr>
              <w:t>Умови та додаткові умови оренди</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Строк оренди  </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5 років</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Наявність рішення про затвердження додаткових умов</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тільки за цільовим призначенням</w:t>
            </w:r>
          </w:p>
        </w:tc>
      </w:tr>
      <w:tr>
        <w:tblPrEx>
          <w:tblW w:w="9606" w:type="dxa"/>
          <w:tblLayout w:type="fixed"/>
          <w:tblLook w:val="00A0"/>
        </w:tblPrEx>
        <w:tc>
          <w:tcPr>
            <w:tcW w:w="3344" w:type="dxa"/>
          </w:tcPr>
          <w:p>
            <w:pPr>
              <w:tabs>
                <w:tab w:val="left" w:pos="1320"/>
              </w:tabs>
              <w:spacing w:beforeAutospacing="0" w:after="0" w:afterAutospacing="0" w:line="240" w:lineRule="auto"/>
              <w:rPr>
                <w:rFonts w:ascii="Times New Roman" w:hAnsi="Times New Roman"/>
                <w:sz w:val="24"/>
                <w:szCs w:val="24"/>
              </w:rPr>
            </w:pPr>
            <w:r>
              <w:rPr>
                <w:rFonts w:ascii="Times New Roman" w:hAnsi="Times New Roman"/>
                <w:sz w:val="24"/>
                <w:szCs w:val="24"/>
              </w:rPr>
              <w:t>Розмір орендної плати (базовий місяць липень 2023 року)</w:t>
            </w:r>
          </w:p>
        </w:tc>
        <w:tc>
          <w:tcPr>
            <w:tcW w:w="6262" w:type="dxa"/>
          </w:tcPr>
          <w:p>
            <w:pPr>
              <w:tabs>
                <w:tab w:val="left" w:pos="132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7,19 грн./за одну годину, без урахування ПДВ </w:t>
            </w:r>
          </w:p>
          <w:p>
            <w:pPr>
              <w:tabs>
                <w:tab w:val="left" w:pos="1320"/>
              </w:tabs>
              <w:spacing w:beforeAutospacing="0" w:after="0" w:afterAutospacing="0" w:line="240" w:lineRule="auto"/>
              <w:jc w:val="both"/>
              <w:rPr>
                <w:rFonts w:ascii="Times New Roman" w:hAnsi="Times New Roman"/>
                <w:sz w:val="24"/>
                <w:szCs w:val="24"/>
              </w:rPr>
            </w:pP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Цільове</w:t>
            </w:r>
          </w:p>
          <w:p>
            <w:pPr>
              <w:tabs>
                <w:tab w:val="left" w:pos="1320"/>
              </w:tabs>
              <w:spacing w:beforeAutospacing="0" w:after="0" w:afterAutospacing="0" w:line="240" w:lineRule="auto"/>
              <w:rPr>
                <w:rFonts w:ascii="Times New Roman" w:hAnsi="Times New Roman"/>
                <w:sz w:val="24"/>
                <w:szCs w:val="24"/>
              </w:rPr>
            </w:pPr>
            <w:r>
              <w:rPr>
                <w:rFonts w:ascii="Times New Roman" w:hAnsi="Times New Roman"/>
                <w:sz w:val="24"/>
                <w:szCs w:val="24"/>
              </w:rPr>
              <w:t>призначення об’єкта оренди</w:t>
            </w:r>
          </w:p>
        </w:tc>
        <w:tc>
          <w:tcPr>
            <w:tcW w:w="6262" w:type="dxa"/>
          </w:tcPr>
          <w:p>
            <w:pPr>
              <w:pStyle w:val="Title"/>
              <w:jc w:val="both"/>
              <w:rPr>
                <w:sz w:val="24"/>
                <w:szCs w:val="24"/>
              </w:rPr>
            </w:pPr>
            <w:r>
              <w:rPr>
                <w:sz w:val="24"/>
                <w:szCs w:val="24"/>
              </w:rPr>
              <w:t>Розміщення громадської організації, що здійснює дозвілля дітей та юнацтва в позаурочний  час (заняття з футболу) - погодинно</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color w:val="800000"/>
                <w:sz w:val="24"/>
                <w:szCs w:val="24"/>
              </w:rPr>
            </w:pPr>
            <w:r>
              <w:rPr>
                <w:rFonts w:ascii="Times New Roman" w:hAnsi="Times New Roman"/>
                <w:sz w:val="24"/>
                <w:szCs w:val="24"/>
              </w:rPr>
              <w:t>Обмеження щодо цільового призначення</w:t>
            </w:r>
            <w:r>
              <w:rPr>
                <w:rFonts w:ascii="Times New Roman" w:hAnsi="Times New Roman"/>
                <w:color w:val="800000"/>
                <w:sz w:val="24"/>
                <w:szCs w:val="24"/>
              </w:rPr>
              <w:t xml:space="preserve"> </w:t>
            </w:r>
            <w:r>
              <w:rPr>
                <w:rFonts w:ascii="Times New Roman" w:hAnsi="Times New Roman"/>
                <w:sz w:val="24"/>
                <w:szCs w:val="24"/>
              </w:rPr>
              <w:t xml:space="preserve">об’єкта оренди, встановлені відповідно до п.54 Порядку (з Додатка 3 до Порядку) </w:t>
            </w:r>
          </w:p>
        </w:tc>
        <w:tc>
          <w:tcPr>
            <w:tcW w:w="6262" w:type="dxa"/>
          </w:tcPr>
          <w:p>
            <w:pPr>
              <w:tabs>
                <w:tab w:val="left" w:pos="993"/>
              </w:tabs>
              <w:spacing w:beforeAutospacing="0" w:after="0" w:afterAutospacing="0" w:line="240" w:lineRule="auto"/>
              <w:jc w:val="both"/>
              <w:rPr>
                <w:rFonts w:ascii="Times New Roman" w:hAnsi="Times New Roman"/>
                <w:color w:val="000000"/>
                <w:sz w:val="24"/>
                <w:szCs w:val="24"/>
              </w:rPr>
            </w:pPr>
            <w:r>
              <w:rPr>
                <w:rFonts w:ascii="Times New Roman" w:hAnsi="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Додаткові умови оренди майна</w:t>
            </w:r>
          </w:p>
        </w:tc>
        <w:tc>
          <w:tcPr>
            <w:tcW w:w="6262" w:type="dxa"/>
          </w:tcPr>
          <w:p>
            <w:pPr>
              <w:tabs>
                <w:tab w:val="left" w:pos="1320"/>
              </w:tabs>
              <w:spacing w:beforeAutospacing="0" w:after="0" w:afterAutospacing="0" w:line="240" w:lineRule="auto"/>
              <w:jc w:val="both"/>
              <w:rPr>
                <w:rFonts w:ascii="Times New Roman" w:hAnsi="Times New Roman"/>
                <w:iCs/>
                <w:sz w:val="24"/>
                <w:szCs w:val="24"/>
              </w:rPr>
            </w:pPr>
            <w:r>
              <w:rPr>
                <w:rFonts w:ascii="Times New Roman" w:hAnsi="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Особливі умови :</w:t>
            </w:r>
          </w:p>
        </w:tc>
        <w:tc>
          <w:tcPr>
            <w:tcW w:w="6262" w:type="dxa"/>
          </w:tcPr>
          <w:p>
            <w:pPr>
              <w:tabs>
                <w:tab w:val="left" w:pos="993"/>
              </w:tabs>
              <w:spacing w:beforeAutospacing="0" w:after="0" w:afterAutospacing="0" w:line="240" w:lineRule="auto"/>
              <w:jc w:val="both"/>
              <w:rPr>
                <w:rFonts w:ascii="Times New Roman" w:hAnsi="Times New Roman"/>
                <w:iCs/>
                <w:sz w:val="24"/>
                <w:szCs w:val="24"/>
              </w:rPr>
            </w:pPr>
            <w:r>
              <w:rPr>
                <w:rFonts w:ascii="Times New Roman" w:hAnsi="Times New Roman"/>
                <w:iCs/>
                <w:sz w:val="24"/>
                <w:szCs w:val="24"/>
              </w:rPr>
              <w:t>Орендар зобов’язаний:</w:t>
            </w:r>
          </w:p>
          <w:p>
            <w:pPr>
              <w:tabs>
                <w:tab w:val="left" w:pos="993"/>
              </w:tabs>
              <w:spacing w:beforeAutospacing="0" w:after="0" w:afterAutospacing="0" w:line="240" w:lineRule="auto"/>
              <w:jc w:val="both"/>
              <w:rPr>
                <w:rFonts w:ascii="Times New Roman" w:hAnsi="Times New Roman"/>
                <w:iCs/>
                <w:sz w:val="24"/>
                <w:szCs w:val="24"/>
              </w:rPr>
            </w:pPr>
            <w:r>
              <w:rPr>
                <w:rFonts w:ascii="Times New Roman" w:hAnsi="Times New Roman"/>
                <w:iCs/>
                <w:sz w:val="24"/>
                <w:szCs w:val="24"/>
              </w:rPr>
              <w:t xml:space="preserve">1) до укладання договору оренди або в день підписання такого договору сплатити на рахунок орендадавця,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pPr>
              <w:tabs>
                <w:tab w:val="left" w:pos="993"/>
              </w:tabs>
              <w:spacing w:beforeAutospacing="0" w:after="0" w:afterAutospacing="0" w:line="240" w:lineRule="auto"/>
              <w:jc w:val="both"/>
              <w:rPr>
                <w:rFonts w:ascii="Times New Roman" w:hAnsi="Times New Roman"/>
                <w:iCs/>
                <w:sz w:val="24"/>
                <w:szCs w:val="24"/>
              </w:rPr>
            </w:pPr>
            <w:r>
              <w:rPr>
                <w:rFonts w:ascii="Times New Roman" w:hAnsi="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3700,00 грн</w:t>
            </w:r>
          </w:p>
          <w:p>
            <w:pPr>
              <w:tabs>
                <w:tab w:val="left" w:pos="993"/>
              </w:tabs>
              <w:spacing w:beforeAutospacing="0" w:after="0" w:afterAutospacing="0" w:line="240" w:lineRule="auto"/>
              <w:jc w:val="both"/>
              <w:rPr>
                <w:rFonts w:ascii="Times New Roman" w:hAnsi="Times New Roman"/>
                <w:iCs/>
                <w:sz w:val="24"/>
                <w:szCs w:val="24"/>
              </w:rPr>
            </w:pP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ru-RU"/>
              </w:rPr>
              <w:t>ередача майна в суборенду відповідно до підпункту 25.1 пункту 25 Порядку</w:t>
            </w:r>
          </w:p>
        </w:tc>
        <w:tc>
          <w:tcPr>
            <w:tcW w:w="6262" w:type="dxa"/>
          </w:tcPr>
          <w:p>
            <w:pPr>
              <w:tabs>
                <w:tab w:val="left" w:pos="-1134"/>
              </w:tabs>
              <w:spacing w:beforeAutospacing="0" w:after="0" w:afterAutospacing="0" w:line="240" w:lineRule="auto"/>
              <w:jc w:val="both"/>
              <w:rPr>
                <w:rFonts w:ascii="Times New Roman" w:hAnsi="Times New Roman"/>
                <w:iCs/>
                <w:color w:val="000000"/>
                <w:sz w:val="24"/>
                <w:szCs w:val="24"/>
              </w:rPr>
            </w:pPr>
            <w:r>
              <w:rPr>
                <w:rFonts w:ascii="Times New Roman" w:hAnsi="Times New Roman"/>
                <w:iCs/>
                <w:color w:val="000000"/>
                <w:sz w:val="24"/>
                <w:szCs w:val="24"/>
              </w:rPr>
              <w:t>Майно передається в оренду без права передачі в суборенду</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Вимоги до орендаря</w:t>
            </w:r>
          </w:p>
        </w:tc>
        <w:tc>
          <w:tcPr>
            <w:tcW w:w="6262" w:type="dxa"/>
          </w:tcPr>
          <w:p>
            <w:pPr>
              <w:tabs>
                <w:tab w:val="left" w:pos="-1134"/>
              </w:tabs>
              <w:spacing w:beforeAutospacing="0" w:after="0" w:afterAutospacing="0" w:line="240" w:lineRule="auto"/>
              <w:jc w:val="both"/>
              <w:rPr>
                <w:rFonts w:ascii="Times New Roman" w:hAnsi="Times New Roman"/>
                <w:sz w:val="24"/>
                <w:szCs w:val="24"/>
              </w:rPr>
            </w:pPr>
            <w:r>
              <w:rPr>
                <w:rFonts w:ascii="Times New Roman" w:hAnsi="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tblPrEx>
          <w:tblW w:w="9606" w:type="dxa"/>
          <w:tblLayout w:type="fixed"/>
          <w:tblLook w:val="00A0"/>
        </w:tblPrEx>
        <w:trPr>
          <w:trHeight w:val="393"/>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контактна особа: Вікторія ГНАТИШЕНА, </w:t>
            </w:r>
          </w:p>
          <w:p>
            <w:pPr>
              <w:spacing w:beforeAutospacing="0" w:after="0" w:afterAutospacing="0" w:line="240" w:lineRule="auto"/>
              <w:rPr>
                <w:rFonts w:ascii="Times New Roman" w:hAnsi="Times New Roman"/>
                <w:color w:val="000000"/>
                <w:sz w:val="24"/>
                <w:szCs w:val="24"/>
              </w:rPr>
            </w:pPr>
            <w:r>
              <w:rPr>
                <w:rFonts w:ascii="Times New Roman" w:hAnsi="Times New Roman"/>
                <w:sz w:val="24"/>
                <w:szCs w:val="24"/>
              </w:rPr>
              <w:t xml:space="preserve">телефон (04594) 7-20-56; е-mail: </w:t>
            </w:r>
            <w:hyperlink r:id="rId4">
              <w:r>
                <w:rPr>
                  <w:rStyle w:val="Hyperlink"/>
                  <w:rFonts w:ascii="Times New Roman" w:hAnsi="Times New Roman"/>
                  <w:color w:val="000000"/>
                  <w:sz w:val="24"/>
                  <w:szCs w:val="24"/>
                  <w:u w:val="none"/>
                  <w:lang w:val="en-US"/>
                </w:rPr>
                <w:t>ukv</w:t>
              </w:r>
              <w:r>
                <w:rPr>
                  <w:rStyle w:val="Hyperlink"/>
                  <w:rFonts w:ascii="Times New Roman" w:hAnsi="Times New Roman"/>
                  <w:color w:val="000000"/>
                  <w:sz w:val="24"/>
                  <w:szCs w:val="24"/>
                  <w:u w:val="none"/>
                </w:rPr>
                <w:t>_</w:t>
              </w:r>
              <w:r>
                <w:rPr>
                  <w:rStyle w:val="Hyperlink"/>
                  <w:rFonts w:ascii="Times New Roman" w:hAnsi="Times New Roman"/>
                  <w:color w:val="000000"/>
                  <w:sz w:val="24"/>
                  <w:szCs w:val="24"/>
                  <w:u w:val="none"/>
                  <w:lang w:val="en-US"/>
                </w:rPr>
                <w:t>bmr</w:t>
              </w:r>
              <w:r>
                <w:rPr>
                  <w:rStyle w:val="Hyperlink"/>
                  <w:rFonts w:ascii="Times New Roman" w:hAnsi="Times New Roman"/>
                  <w:color w:val="000000"/>
                  <w:sz w:val="24"/>
                  <w:szCs w:val="24"/>
                  <w:u w:val="none"/>
                </w:rPr>
                <w:t>@</w:t>
              </w:r>
              <w:r>
                <w:rPr>
                  <w:rStyle w:val="Hyperlink"/>
                  <w:rFonts w:ascii="Times New Roman" w:hAnsi="Times New Roman"/>
                  <w:color w:val="000000"/>
                  <w:sz w:val="24"/>
                  <w:szCs w:val="24"/>
                  <w:u w:val="none"/>
                  <w:lang w:val="en-US"/>
                </w:rPr>
                <w:t>ukr</w:t>
              </w:r>
              <w:r>
                <w:rPr>
                  <w:rStyle w:val="Hyperlink"/>
                  <w:rFonts w:ascii="Times New Roman" w:hAnsi="Times New Roman"/>
                  <w:color w:val="000000"/>
                  <w:sz w:val="24"/>
                  <w:szCs w:val="24"/>
                  <w:u w:val="none"/>
                </w:rPr>
                <w:t>.</w:t>
              </w:r>
              <w:r>
                <w:rPr>
                  <w:rStyle w:val="Hyperlink"/>
                  <w:rFonts w:ascii="Times New Roman" w:hAnsi="Times New Roman"/>
                  <w:color w:val="000000"/>
                  <w:sz w:val="24"/>
                  <w:szCs w:val="24"/>
                  <w:u w:val="none"/>
                  <w:lang w:val="en-US"/>
                </w:rPr>
                <w:t>net</w:t>
              </w:r>
            </w:hyperlink>
          </w:p>
        </w:tc>
      </w:tr>
      <w:tr>
        <w:tblPrEx>
          <w:tblW w:w="9606" w:type="dxa"/>
          <w:tblLayout w:type="fixed"/>
          <w:tblLook w:val="00A0"/>
        </w:tblPrEx>
        <w:trPr>
          <w:trHeight w:val="393"/>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262" w:type="dxa"/>
          </w:tcPr>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Не раніше ніж п’ять календарних днів з дати оприлюднення інформаційного повідомлення про продовження  оренди об’єкта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tblPrEx>
          <w:tblW w:w="9606" w:type="dxa"/>
          <w:tblLayout w:type="fixed"/>
          <w:tblLook w:val="00A0"/>
        </w:tblPrEx>
        <w:tc>
          <w:tcPr>
            <w:tcW w:w="9606" w:type="dxa"/>
            <w:gridSpan w:val="2"/>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 Додаткова  інформація</w:t>
            </w:r>
          </w:p>
        </w:tc>
      </w:tr>
      <w:tr>
        <w:tblPrEx>
          <w:tblW w:w="9606" w:type="dxa"/>
          <w:tblLayout w:type="fixed"/>
          <w:tblLook w:val="00A0"/>
        </w:tblPrEx>
        <w:trPr>
          <w:trHeight w:val="2188"/>
        </w:trPr>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Отримувач коштів: Броварський ліцей № 9 Броварської міської ради Броварського району Київської області</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 (необхідно обов’язково зазначати призначення платежу).</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ЄДРПОУ 22208830</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р/р </w:t>
            </w:r>
            <w:r>
              <w:rPr>
                <w:rFonts w:ascii="Times New Roman" w:hAnsi="Times New Roman"/>
                <w:sz w:val="24"/>
                <w:szCs w:val="24"/>
                <w:lang w:val="en-US"/>
              </w:rPr>
              <w:t>UA</w:t>
            </w:r>
            <w:r>
              <w:rPr>
                <w:rFonts w:ascii="Times New Roman" w:hAnsi="Times New Roman"/>
                <w:sz w:val="24"/>
                <w:szCs w:val="24"/>
              </w:rPr>
              <w:t xml:space="preserve"> 058201720344290003000020465</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Банк: Державна казначейська служба України, м. Київ,</w:t>
            </w:r>
          </w:p>
          <w:p>
            <w:pPr>
              <w:spacing w:beforeAutospacing="0" w:after="0" w:afterAutospacing="0" w:line="240" w:lineRule="auto"/>
              <w:jc w:val="both"/>
              <w:rPr>
                <w:rFonts w:ascii="Times New Roman" w:hAnsi="Times New Roman"/>
                <w:sz w:val="24"/>
                <w:szCs w:val="24"/>
              </w:rPr>
            </w:pPr>
            <w:r>
              <w:rPr>
                <w:rFonts w:ascii="Times New Roman" w:hAnsi="Times New Roman"/>
                <w:sz w:val="24"/>
                <w:szCs w:val="24"/>
              </w:rPr>
              <w:t>МФО 820172</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color w:val="000000"/>
                <w:sz w:val="24"/>
                <w:szCs w:val="24"/>
                <w:shd w:val="clear" w:color="auto" w:fill="FFFFFF"/>
              </w:rPr>
            </w:pPr>
            <w:r>
              <w:rPr>
                <w:rFonts w:ascii="Times New Roman" w:hAnsi="Times New Roman"/>
                <w:sz w:val="24"/>
                <w:szCs w:val="24"/>
              </w:rPr>
              <w:t>інша додаткова інформація</w:t>
            </w:r>
          </w:p>
        </w:tc>
        <w:tc>
          <w:tcPr>
            <w:tcW w:w="6262" w:type="dxa"/>
          </w:tcPr>
          <w:p>
            <w:pPr>
              <w:spacing w:beforeAutospacing="0" w:after="0" w:afterAutospacing="0" w:line="240" w:lineRule="auto"/>
              <w:jc w:val="both"/>
              <w:rPr>
                <w:rFonts w:ascii="Times New Roman" w:hAnsi="Times New Roman"/>
                <w:sz w:val="24"/>
                <w:szCs w:val="24"/>
                <w:lang w:val="ru-RU"/>
              </w:rPr>
            </w:pPr>
            <w:r>
              <w:rPr>
                <w:rFonts w:ascii="Times New Roman" w:hAnsi="Times New Roman"/>
                <w:sz w:val="24"/>
                <w:szCs w:val="24"/>
                <w:lang w:val="ru-RU"/>
              </w:rPr>
              <w:t xml:space="preserve">(посилання на сторінку офіційного веб-сайта адміністратора, на якій зазначені реквізити таких рахунків): </w:t>
            </w:r>
            <w:r>
              <w:rPr>
                <w:rFonts w:ascii="Times New Roman" w:hAnsi="Times New Roman"/>
                <w:sz w:val="24"/>
                <w:szCs w:val="24"/>
                <w:lang w:val="en-US"/>
              </w:rPr>
              <w:t>https</w:t>
            </w:r>
            <w:r>
              <w:rPr>
                <w:rFonts w:ascii="Times New Roman" w:hAnsi="Times New Roman"/>
                <w:sz w:val="24"/>
                <w:szCs w:val="24"/>
                <w:lang w:val="ru-RU"/>
              </w:rPr>
              <w:t>://</w:t>
            </w:r>
            <w:r>
              <w:rPr>
                <w:rFonts w:ascii="Times New Roman" w:hAnsi="Times New Roman"/>
                <w:sz w:val="24"/>
                <w:szCs w:val="24"/>
                <w:lang w:val="en-US"/>
              </w:rPr>
              <w:t>prozorro</w:t>
            </w:r>
            <w:r>
              <w:rPr>
                <w:rFonts w:ascii="Times New Roman" w:hAnsi="Times New Roman"/>
                <w:sz w:val="24"/>
                <w:szCs w:val="24"/>
                <w:lang w:val="ru-RU"/>
              </w:rPr>
              <w:t>.</w:t>
            </w:r>
            <w:r>
              <w:rPr>
                <w:rFonts w:ascii="Times New Roman" w:hAnsi="Times New Roman"/>
                <w:sz w:val="24"/>
                <w:szCs w:val="24"/>
                <w:lang w:val="en-US"/>
              </w:rPr>
              <w:t>sale</w:t>
            </w:r>
            <w:r>
              <w:rPr>
                <w:rFonts w:ascii="Times New Roman" w:hAnsi="Times New Roman"/>
                <w:sz w:val="24"/>
                <w:szCs w:val="24"/>
                <w:lang w:val="ru-RU"/>
              </w:rPr>
              <w:t>/</w:t>
            </w:r>
            <w:r>
              <w:rPr>
                <w:rFonts w:ascii="Times New Roman" w:hAnsi="Times New Roman"/>
                <w:sz w:val="24"/>
                <w:szCs w:val="24"/>
                <w:lang w:val="en-US"/>
              </w:rPr>
              <w:t>info</w:t>
            </w:r>
            <w:r>
              <w:rPr>
                <w:rFonts w:ascii="Times New Roman" w:hAnsi="Times New Roman"/>
                <w:sz w:val="24"/>
                <w:szCs w:val="24"/>
                <w:lang w:val="ru-RU"/>
              </w:rPr>
              <w:t>/</w:t>
            </w:r>
            <w:r>
              <w:rPr>
                <w:rFonts w:ascii="Times New Roman" w:hAnsi="Times New Roman"/>
                <w:sz w:val="24"/>
                <w:szCs w:val="24"/>
                <w:lang w:val="en-US"/>
              </w:rPr>
              <w:t>elektronni</w:t>
            </w:r>
            <w:r>
              <w:rPr>
                <w:rFonts w:ascii="Times New Roman" w:hAnsi="Times New Roman"/>
                <w:sz w:val="24"/>
                <w:szCs w:val="24"/>
                <w:lang w:val="ru-RU"/>
              </w:rPr>
              <w:t>-</w:t>
            </w:r>
            <w:r>
              <w:rPr>
                <w:rFonts w:ascii="Times New Roman" w:hAnsi="Times New Roman"/>
                <w:sz w:val="24"/>
                <w:szCs w:val="24"/>
                <w:lang w:val="en-US"/>
              </w:rPr>
              <w:t>majdanchiki</w:t>
            </w:r>
            <w:r>
              <w:rPr>
                <w:rFonts w:ascii="Times New Roman" w:hAnsi="Times New Roman"/>
                <w:sz w:val="24"/>
                <w:szCs w:val="24"/>
                <w:lang w:val="ru-RU"/>
              </w:rPr>
              <w:t>-</w:t>
            </w:r>
            <w:r>
              <w:rPr>
                <w:rFonts w:ascii="Times New Roman" w:hAnsi="Times New Roman"/>
                <w:sz w:val="24"/>
                <w:szCs w:val="24"/>
                <w:lang w:val="en-US"/>
              </w:rPr>
              <w:t>ets</w:t>
            </w:r>
            <w:r>
              <w:rPr>
                <w:rFonts w:ascii="Times New Roman" w:hAnsi="Times New Roman"/>
                <w:sz w:val="24"/>
                <w:szCs w:val="24"/>
                <w:lang w:val="ru-RU"/>
              </w:rPr>
              <w:t>-</w:t>
            </w:r>
            <w:r>
              <w:rPr>
                <w:rFonts w:ascii="Times New Roman" w:hAnsi="Times New Roman"/>
                <w:sz w:val="24"/>
                <w:szCs w:val="24"/>
                <w:lang w:val="en-US"/>
              </w:rPr>
              <w:t>prozorroprodazhi</w:t>
            </w:r>
            <w:r>
              <w:rPr>
                <w:rFonts w:ascii="Times New Roman" w:hAnsi="Times New Roman"/>
                <w:sz w:val="24"/>
                <w:szCs w:val="24"/>
                <w:lang w:val="ru-RU"/>
              </w:rPr>
              <w:t>-</w:t>
            </w:r>
            <w:r>
              <w:rPr>
                <w:rFonts w:ascii="Times New Roman" w:hAnsi="Times New Roman"/>
                <w:sz w:val="24"/>
                <w:szCs w:val="24"/>
                <w:lang w:val="en-US"/>
              </w:rPr>
              <w:t>cbd</w:t>
            </w:r>
            <w:r>
              <w:rPr>
                <w:rFonts w:ascii="Times New Roman" w:hAnsi="Times New Roman"/>
                <w:sz w:val="24"/>
                <w:szCs w:val="24"/>
                <w:lang w:val="ru-RU"/>
              </w:rPr>
              <w:t>2.</w:t>
            </w:r>
          </w:p>
        </w:tc>
      </w:tr>
      <w:tr>
        <w:tblPrEx>
          <w:tblW w:w="9606" w:type="dxa"/>
          <w:tblLayout w:type="fixed"/>
          <w:tblLook w:val="00A0"/>
        </w:tblPrEx>
        <w:tc>
          <w:tcPr>
            <w:tcW w:w="3344"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Технічні реквізити оголошення </w:t>
            </w:r>
          </w:p>
        </w:tc>
        <w:tc>
          <w:tcPr>
            <w:tcW w:w="6262" w:type="dxa"/>
          </w:tcPr>
          <w:p>
            <w:pPr>
              <w:spacing w:beforeAutospacing="0" w:after="0" w:afterAutospacing="0" w:line="240" w:lineRule="auto"/>
              <w:rPr>
                <w:rFonts w:ascii="Times New Roman" w:hAnsi="Times New Roman"/>
                <w:sz w:val="24"/>
                <w:szCs w:val="24"/>
              </w:rPr>
            </w:pPr>
            <w:r>
              <w:rPr>
                <w:rFonts w:ascii="Times New Roman" w:hAnsi="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Pr>
                <w:rFonts w:ascii="Times New Roman" w:hAnsi="Times New Roman"/>
                <w:sz w:val="24"/>
                <w:szCs w:val="24"/>
                <w:lang w:val="en-US"/>
              </w:rPr>
              <w:t>https</w:t>
            </w:r>
            <w:r>
              <w:rPr>
                <w:rFonts w:ascii="Times New Roman" w:hAnsi="Times New Roman"/>
                <w:sz w:val="24"/>
                <w:szCs w:val="24"/>
                <w:lang w:val="ru-RU"/>
              </w:rPr>
              <w:t>://</w:t>
            </w:r>
            <w:r>
              <w:rPr>
                <w:rFonts w:ascii="Times New Roman" w:hAnsi="Times New Roman"/>
                <w:sz w:val="24"/>
                <w:szCs w:val="24"/>
                <w:lang w:val="en-US"/>
              </w:rPr>
              <w:t>prozorro</w:t>
            </w:r>
            <w:r>
              <w:rPr>
                <w:rFonts w:ascii="Times New Roman" w:hAnsi="Times New Roman"/>
                <w:sz w:val="24"/>
                <w:szCs w:val="24"/>
                <w:lang w:val="ru-RU"/>
              </w:rPr>
              <w:t>.</w:t>
            </w:r>
            <w:r>
              <w:rPr>
                <w:rFonts w:ascii="Times New Roman" w:hAnsi="Times New Roman"/>
                <w:sz w:val="24"/>
                <w:szCs w:val="24"/>
                <w:lang w:val="en-US"/>
              </w:rPr>
              <w:t>sale</w:t>
            </w:r>
            <w:r>
              <w:rPr>
                <w:rFonts w:ascii="Times New Roman" w:hAnsi="Times New Roman"/>
                <w:sz w:val="24"/>
                <w:szCs w:val="24"/>
                <w:lang w:val="ru-RU"/>
              </w:rPr>
              <w:t>/</w:t>
            </w:r>
          </w:p>
        </w:tc>
      </w:tr>
    </w:tbl>
    <w:p>
      <w:pPr>
        <w:tabs>
          <w:tab w:val="left" w:pos="0"/>
          <w:tab w:val="left" w:pos="5760"/>
        </w:tabs>
        <w:spacing w:beforeAutospacing="0" w:after="0" w:afterAutospacing="0" w:line="240" w:lineRule="auto"/>
        <w:jc w:val="both"/>
        <w:rPr>
          <w:rFonts w:ascii="Times New Roman" w:hAnsi="Times New Roman"/>
          <w:sz w:val="24"/>
          <w:szCs w:val="24"/>
        </w:rPr>
      </w:pPr>
    </w:p>
    <w:p>
      <w:pPr>
        <w:tabs>
          <w:tab w:val="left" w:pos="0"/>
          <w:tab w:val="left" w:pos="5760"/>
        </w:tabs>
        <w:spacing w:beforeAutospacing="0" w:after="0" w:afterAutospacing="0" w:line="240" w:lineRule="auto"/>
        <w:jc w:val="both"/>
        <w:rPr>
          <w:rFonts w:ascii="Times New Roman" w:hAnsi="Times New Roman"/>
          <w:sz w:val="24"/>
          <w:szCs w:val="24"/>
        </w:rPr>
      </w:pPr>
    </w:p>
    <w:p>
      <w:pPr>
        <w:tabs>
          <w:tab w:val="left" w:pos="0"/>
          <w:tab w:val="left" w:pos="5760"/>
        </w:tabs>
        <w:spacing w:beforeAutospacing="0" w:after="0" w:afterAutospacing="0" w:line="240" w:lineRule="auto"/>
        <w:jc w:val="both"/>
        <w:rPr>
          <w:rFonts w:ascii="Times New Roman" w:hAnsi="Times New Roman"/>
          <w:sz w:val="24"/>
          <w:szCs w:val="24"/>
        </w:rPr>
      </w:pPr>
      <w:r>
        <w:rPr>
          <w:rFonts w:ascii="Times New Roman" w:hAnsi="Times New Roman"/>
          <w:sz w:val="24"/>
          <w:szCs w:val="24"/>
        </w:rPr>
        <w:t xml:space="preserve">Міський голова                                                      </w:t>
        <w:tab/>
        <w:tab/>
        <w:tab/>
        <w:t>Ігор САПОЖКО</w:t>
      </w:r>
      <w:bookmarkStart w:id="1" w:name="_GoBack"/>
      <w:bookmarkEnd w:id="1"/>
      <w:permEnd w:id="0"/>
    </w:p>
    <w:sectPr>
      <w:headerReference w:type="default" r:id="rId5"/>
      <w:footerReference w:type="default" r:id="rId6"/>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2"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Title">
    <w:name w:val="Title"/>
    <w:basedOn w:val="Normal"/>
    <w:link w:val="a1"/>
    <w:qFormat/>
    <w:pPr>
      <w:spacing w:beforeAutospacing="0" w:after="0" w:afterAutospacing="0" w:line="240" w:lineRule="auto"/>
      <w:jc w:val="center"/>
    </w:pPr>
    <w:rPr>
      <w:rFonts w:ascii="Times New Roman" w:hAnsi="Times New Roman"/>
      <w:sz w:val="28"/>
      <w:szCs w:val="28"/>
      <w:lang w:eastAsia="ru-RU"/>
    </w:rPr>
  </w:style>
  <w:style w:type="paragraph" w:styleId="BodyText">
    <w:name w:val="Body Text"/>
    <w:basedOn w:val="Normal"/>
    <w:link w:val="a2"/>
    <w:pPr>
      <w:widowControl w:val="0"/>
      <w:shd w:val="clear" w:color="auto" w:fill="FFFFFF"/>
      <w:spacing w:beforeAutospacing="0" w:after="0" w:afterAutospacing="0" w:line="240" w:lineRule="auto"/>
      <w:jc w:val="both"/>
    </w:pPr>
    <w:rPr>
      <w:rFonts w:ascii="Times New Roman" w:hAnsi="Times New Roman"/>
      <w:color w:val="000000"/>
      <w:sz w:val="28"/>
      <w:szCs w:val="28"/>
      <w:lang w:eastAsia="ru-RU"/>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a1">
    <w:name w:val="Назва Знак"/>
    <w:basedOn w:val="DefaultParagraphFont"/>
    <w:link w:val="Title"/>
    <w:rPr>
      <w:rFonts w:ascii="Times New Roman" w:hAnsi="Times New Roman"/>
      <w:sz w:val="28"/>
      <w:szCs w:val="28"/>
      <w:lang w:eastAsia="ru-RU"/>
    </w:rPr>
  </w:style>
  <w:style w:type="character" w:customStyle="1" w:styleId="a2">
    <w:name w:val="Основний текст Знак"/>
    <w:basedOn w:val="DefaultParagraphFont"/>
    <w:link w:val="BodyText"/>
    <w:rPr>
      <w:rFonts w:ascii="Times New Roman" w:hAnsi="Times New Roman"/>
      <w:color w:val="000000"/>
      <w:sz w:val="28"/>
      <w:szCs w:val="28"/>
      <w:shd w:val="clear" w:color="auto" w:fill="FFFFFF"/>
      <w:lang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25</cp:revision>
  <dcterms:created xsi:type="dcterms:W3CDTF">2021-08-31T06:42:00Z</dcterms:created>
  <dcterms:modified xsi:type="dcterms:W3CDTF">2023-09-07T05:29:46Z</dcterms:modified>
</cp:coreProperties>
</file>