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№______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keepNext w:val="0"/>
        <w:widowControl/>
        <w:bidi w:val="0"/>
        <w:spacing w:after="0" w:line="240" w:lineRule="auto"/>
        <w:ind w:left="0" w:right="0"/>
        <w:jc w:val="center"/>
        <w:outlineLvl w:val="1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Умови продовження оренди  об’єкта  комунальної власності Броварської міської територіальної громади шляхом аукціону</w:t>
      </w:r>
    </w:p>
    <w:p>
      <w:pPr>
        <w:keepNext w:val="0"/>
        <w:widowControl/>
        <w:bidi w:val="0"/>
        <w:spacing w:after="0" w:line="240" w:lineRule="auto"/>
        <w:ind w:left="0" w:right="0"/>
        <w:jc w:val="center"/>
        <w:outlineLvl w:val="1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</w:p>
    <w:tbl>
      <w:tblPr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369"/>
        <w:gridCol w:w="6237"/>
      </w:tblGrid>
      <w:tr>
        <w:tblPrEx>
          <w:tblW w:w="9606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singl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single"/>
                <w:shd w:val="clear" w:color="auto" w:fill="auto"/>
                <w:vertAlign w:val="baseline"/>
                <w:lang w:val="x-non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Продовження  оренди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нежитлового приміщення будівлі басейну площею 42,2 кв. м.,  за адресою: Київська область, Броварський район, місто Бровари, вулиця Героїв Небесної Сотні, будинок 13-А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820"/>
                <w:tab w:val="left" w:pos="3402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Рішення виконавчого комітету Броварської міської ради Броварського району Київської області від 04.04.2023     № 243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Повне найменування та адреса орендодавця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 (04594) 7-20-56, 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e-mail: ukv_bmr@ukr.net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Style w:val="Hyperlink"/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Комунальне підприємство «Оздоровчо-реабілітаційний центр» Броварської міської ради Броварського району Київської області, що знаходиться за адресою: 07400, Київська область, Броварський район, місто Бровари, вулиця Героїв Небесної Сотні, будинок 13-А,  телефон +38 (04594) 6-04-44, e-mail: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u w:val="none"/>
                </w:rPr>
                <w:t>orc_2015@ukr.net</w:t>
              </w:r>
            </w:hyperlink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Нежитлове  приміщення будівлі басейну площею 42,2 кв. м.,  за адресою: Київська область, Броварський район, місто Бровари, вулиця Героїв Небесної Сотні, будинок 13-А.  Вхід до приміщення через центральний вхід КП «ОРЦ». Розмішено на 1-му поверсі.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Договорів  оренди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№ 1-04/2020 від 22.04.2020 по 21.03.2023 Орендар: Фізична особа-підприємець Шута Людмила Олександрівна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Вартість об’єкта оренди згідно з висновком про вартість майна станом на 30.04.2023 року становить, без ПДВ 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819 800,00 грн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нерухоме майно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5 років 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-1134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 w:hanging="1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Додається 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Загальна, корисна 42,2 кв.м. 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Технічний стан, інформація про потужність електромережіі забезпеченнякомунікаціями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Технічний стан приміщення - задовільний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Додається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Об’єкт не є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пам’яткою культурної спадщини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7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Проєкт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keepNext w:val="0"/>
              <w:widowControl/>
              <w:bidi w:val="0"/>
              <w:spacing w:after="0" w:line="240" w:lineRule="auto"/>
              <w:ind w:left="0" w:right="0"/>
              <w:jc w:val="both"/>
              <w:outlineLvl w:val="1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Додається  до оголошення про продовження оренди об’єкта  комунальної власності Броварської міської територіальної громади шляхом аукціону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Умови та додаткові умови оренди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5 років 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тільки за цільовим призначенням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Стартова орендна плата (базовий місяць жовтень 2022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8198,00 грн за місяць, без урахування ПДВ - 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для електронного аукціону на підвищення ціни;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4099,00 грн за місяць, без урахування ПДВ - 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для електронного аукціону зі зниженням стартової ціни; 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4099,00 грн за місяць., без урахування ПДВ - 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Цільове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Розміщення перукарні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8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Додаткові умови орендимайна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93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993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3296,00 грн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-1134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Майно передається в оренду без права передачі в суборенду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-1134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контактна особа: Вікторія ГНАТИШЕНА, 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Style w:val="Hyperlink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телефон (04594) 7-20-56; е-mail: </w:t>
            </w: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z w:val="24"/>
                  <w:u w:val="none"/>
                </w:rPr>
                <w:t>ukv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u w:val="none"/>
                </w:rPr>
                <w:t>bmr@ukr.net</w:t>
              </w:r>
            </w:hyperlink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аукціон (спосіб та дата) Кінцевий  строк подання заяви  на участь в аукціоні,щовизначається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Інформація про умови, на яких проводиться аукціон: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Розмір гарантійного внеску – 16396,00 грн;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Розмір гарантійного внеску, для чинного орендаря – 4099,00 грн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Розмір реєстраційного внеску – 670,00 грн</w:t>
            </w:r>
          </w:p>
          <w:p>
            <w:pPr>
              <w:widowControl/>
              <w:bidi w:val="0"/>
              <w:spacing w:after="0" w:line="240" w:lineRule="auto"/>
              <w:ind w:left="0" w:right="0" w:hanging="1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Додаткова  інформація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Реквізити для сплати реєстраційного та гарантійного внесків в національній валюті: 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отримувач коштів: Комунальне підприємство "Оздоровчо-реабілітаційний центр" Броварської міської ради Броварського району Київської області (необхідно обов’язково зазначати призначення платежу)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ЄДРПОУ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  <w:t>33341678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р/р IBAN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  <w:t>UA453226690000026008300516158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Банк: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  <w:t>АТ "Державний ощадний банк України"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,</w:t>
            </w:r>
          </w:p>
          <w:p>
            <w:pPr>
              <w:keepNext w:val="0"/>
              <w:widowControl/>
              <w:shd w:val="clear" w:color="auto" w:fill="FFFFFF"/>
              <w:bidi w:val="0"/>
              <w:spacing w:after="0"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333333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МФО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333333"/>
                <w:sz w:val="24"/>
                <w:u w:val="none"/>
                <w:shd w:val="clear" w:color="auto" w:fill="auto"/>
                <w:vertAlign w:val="baseline"/>
                <w:lang w:val="x-none"/>
              </w:rPr>
              <w:t>322669</w:t>
            </w:r>
          </w:p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FFFFFF"/>
                <w:vertAlign w:val="baseline"/>
                <w:lang w:val="x-none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офіційноговеб-сайта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(посилання на сторінку офіційного веб-сайта адміністратора, на якій зазначені реквізити таких рахунків): https://prozorro.sale/info/elektronni-majdanchiki-ets-prozorroprodazhi-cbd2.</w:t>
            </w:r>
          </w:p>
        </w:tc>
      </w:tr>
      <w:tr>
        <w:tblPrEx>
          <w:tblW w:w="9606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1320"/>
              </w:tabs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https://prozorro.sale/</w:t>
            </w:r>
          </w:p>
        </w:tc>
      </w:tr>
    </w:tbl>
    <w:p>
      <w:pPr>
        <w:widowControl/>
        <w:tabs>
          <w:tab w:val="left" w:pos="0"/>
          <w:tab w:val="left" w:pos="5760"/>
        </w:tabs>
        <w:bidi w:val="0"/>
        <w:spacing w:after="0" w:line="240" w:lineRule="auto"/>
        <w:ind w:left="0" w:right="0"/>
        <w:jc w:val="left"/>
        <w:rPr>
          <w:rFonts w:ascii="Times New Roman" w:hAnsi="Times New Roman"/>
          <w:b/>
          <w:sz w:val="24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after="0" w:line="240" w:lineRule="auto"/>
        <w:ind w:left="0" w:right="0"/>
        <w:jc w:val="left"/>
        <w:rPr>
          <w:rFonts w:ascii="Times New Roman" w:hAnsi="Times New Roman"/>
          <w:b/>
          <w:sz w:val="24"/>
          <w:szCs w:val="28"/>
        </w:rPr>
      </w:pPr>
    </w:p>
    <w:tbl>
      <w:tblPr>
        <w:tblW w:w="9889" w:type="dxa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89"/>
      </w:tblGrid>
      <w:tr>
        <w:tblPrEx>
          <w:tblW w:w="988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12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іський голова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Ігор САПОЖКО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6"/>
      <w:footerReference w:type="default" r:id="rId7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c_201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2023-06-14T13:04:03Z</dcterms:modified>
</cp:coreProperties>
</file>