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 зі складу продуктового набору, що перебуває на балансі Требухівського ліцею Броварської міської ради Броварського району Київської області та підлягає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1377.60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14577.60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  <w:lang w:val="ru-RU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  <w:lang w:val="ru-RU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r>
        <w:rPr>
          <w:rFonts w:ascii="Times New Roman" w:hAnsi="Times New Roman"/>
          <w:iCs/>
          <w:sz w:val="28"/>
          <w:szCs w:val="28"/>
        </w:rPr>
        <w:t xml:space="preserve">   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2023-03-13T13:35:54Z</dcterms:modified>
</cp:coreProperties>
</file>