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ПВ-196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 зі складу продуктового набору, що перебуває на балансі Требухівського ліцею Броварської міської ради Броварського району Київської області та підлягає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7"/>
        <w:gridCol w:w="4008"/>
        <w:gridCol w:w="1096"/>
        <w:gridCol w:w="1134"/>
        <w:gridCol w:w="1109"/>
        <w:gridCol w:w="1713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одиницю, грн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Сума, грн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Олія соняшникова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Спагетті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1050.00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Молоко згущене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пляшка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-107" w:right="0" w:firstLine="10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Консерва м’ясна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 w:hanging="10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Борошно пшеничне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45.92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1377.60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1350.00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Сухарі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ячнева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пшенична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14577.60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bCs/>
          <w:sz w:val="28"/>
          <w:szCs w:val="28"/>
          <w:lang w:val="ru-RU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b/>
          <w:bCs/>
          <w:sz w:val="28"/>
          <w:szCs w:val="28"/>
          <w:lang w:val="ru-RU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  <w:r>
        <w:rPr>
          <w:rFonts w:ascii="Times New Roman" w:hAnsi="Times New Roman"/>
          <w:iCs/>
          <w:sz w:val="28"/>
          <w:szCs w:val="28"/>
        </w:rPr>
        <w:t xml:space="preserve">    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2023-03-13T13:35:54Z</dcterms:modified>
</cp:coreProperties>
</file>