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Продукти харчування зі складу продуктового набору, що перебуває на балансі Броварського ліцею № 2 ім. В.О. Сухомлинського Броварської міської ради Броварського району Київської області та підлягає передачі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008"/>
        <w:gridCol w:w="1096"/>
        <w:gridCol w:w="1134"/>
        <w:gridCol w:w="1109"/>
        <w:gridCol w:w="1713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одиницю,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Сума, грн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Олія соняшникова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Спагетті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Молоко згущене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пляшка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2425.00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Цукор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-107" w:right="0" w:firstLine="10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Консерва м’ясна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9200.00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 w:hanging="10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Борошно пшеничне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2755.20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Сухарі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ячнева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пшенична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27480.20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2023-03-13T13:19:25Z</dcterms:modified>
</cp:coreProperties>
</file>