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1539E" w14:paraId="712367B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ПВ-684</w:t>
      </w:r>
    </w:p>
    <w:p w:rsidR="0031539E" w14:paraId="764DCD8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539E" w:rsidP="006D53A5" w14:paraId="21D2F1B0" w14:textId="339716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31539E" w:rsidP="006D53A5" w14:paraId="348EBC96" w14:textId="46409F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31539E" w:rsidP="006D53A5" w14:paraId="62E5A38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31539E" w:rsidP="006D53A5" w14:paraId="1EC048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31539E" w14:paraId="51BCF9E9" w14:textId="3845551E">
      <w:pPr>
        <w:spacing w:after="0"/>
        <w:rPr>
          <w:rFonts w:ascii="Times New Roman" w:hAnsi="Times New Roman"/>
          <w:sz w:val="28"/>
          <w:szCs w:val="28"/>
        </w:rPr>
      </w:pPr>
    </w:p>
    <w:p w:rsidR="006D53A5" w14:paraId="56DF34F1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31539E" w14:paraId="59CC3DFA" w14:textId="77777777">
      <w:pPr>
        <w:widowControl w:val="0"/>
        <w:ind w:firstLine="74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ПОЛОЖЕННЯ</w:t>
      </w:r>
    </w:p>
    <w:p w:rsidR="0031539E" w14:paraId="0B7293F6" w14:textId="77777777">
      <w:pPr>
        <w:widowControl w:val="0"/>
        <w:ind w:firstLine="74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 проведення почесних поховань померлих (загиблих) осіб в Броварській міській територіальній громаді</w:t>
      </w:r>
    </w:p>
    <w:p w:rsidR="0031539E" w14:paraId="45A30CAC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1B2A0731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36629B13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7FE3EB2F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65C26E9F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6F1AB009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6DE04726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50165CA3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04ECBF59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09755C8D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766C4EEF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341D0C21" w14:textId="77777777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:rsidR="006D53A5" w14:paraId="5A507AF7" w14:textId="77777777">
      <w:pPr>
        <w:widowControl w:val="0"/>
        <w:ind w:firstLine="740"/>
        <w:jc w:val="center"/>
        <w:rPr>
          <w:rFonts w:ascii="Times New Roman" w:hAnsi="Times New Roman"/>
          <w:iCs/>
          <w:sz w:val="28"/>
          <w:szCs w:val="28"/>
        </w:rPr>
      </w:pPr>
    </w:p>
    <w:p w:rsidR="0031539E" w14:paraId="27A6F6F2" w14:textId="77777777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 Бровари</w:t>
      </w:r>
    </w:p>
    <w:p w:rsidR="0031539E" w:rsidP="006D53A5" w14:paraId="32EB107B" w14:textId="5C8A31D1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2023 рік</w:t>
      </w:r>
    </w:p>
    <w:p w:rsidR="006D53A5" w:rsidP="006D53A5" w14:paraId="3CA618D6" w14:textId="4B139186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</w:p>
    <w:p w:rsidR="006D53A5" w:rsidRPr="006D53A5" w:rsidP="006D53A5" w14:paraId="48C29BF8" w14:textId="77777777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</w:p>
    <w:p w:rsidR="0031539E" w14:paraId="7EE40A95" w14:textId="77777777">
      <w:pPr>
        <w:widowControl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 Положення регламентує порядок проведення почесних поховань окремих категорій померлих (загиблих) осіб (далі - померлих) в Броварській міській територіальній громаді (далі – громаді).</w:t>
      </w:r>
    </w:p>
    <w:p w:rsidR="0031539E" w14:paraId="0D76F669" w14:textId="77777777">
      <w:pPr>
        <w:widowControl w:val="0"/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Положення визначає загальні правові </w:t>
      </w:r>
      <w:r>
        <w:rPr>
          <w:rFonts w:ascii="Times New Roman" w:hAnsi="Times New Roman"/>
          <w:sz w:val="28"/>
        </w:rPr>
        <w:t>засади здійснення діяльності з поховання, регулює відносини, що виникають після смерті особи щодо проведення процедури поховання на почесних секторах кладовищ громади, а також встановлює гарантії належного ставлення до тіла (останків) померлого та збережен</w:t>
      </w:r>
      <w:r>
        <w:rPr>
          <w:rFonts w:ascii="Times New Roman" w:hAnsi="Times New Roman"/>
          <w:sz w:val="28"/>
        </w:rPr>
        <w:t>ня місця поховання.</w:t>
      </w:r>
    </w:p>
    <w:p w:rsidR="0031539E" w14:paraId="27D7CC6C" w14:textId="77777777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І.</w:t>
      </w:r>
    </w:p>
    <w:p w:rsidR="0031539E" w14:paraId="1CCA2081" w14:textId="77777777">
      <w:pPr>
        <w:widowControl w:val="0"/>
        <w:jc w:val="center"/>
        <w:rPr>
          <w:rFonts w:ascii="Times New Roman" w:hAnsi="Times New Roman"/>
          <w:b/>
          <w:sz w:val="28"/>
        </w:rPr>
      </w:pPr>
      <w:bookmarkStart w:id="1" w:name="30j0zll"/>
      <w:bookmarkStart w:id="2" w:name="1fob9te"/>
      <w:bookmarkEnd w:id="1"/>
      <w:bookmarkEnd w:id="2"/>
      <w:r>
        <w:rPr>
          <w:rFonts w:ascii="Times New Roman" w:hAnsi="Times New Roman"/>
          <w:b/>
          <w:sz w:val="28"/>
        </w:rPr>
        <w:t>Загальні положення.</w:t>
      </w:r>
    </w:p>
    <w:p w:rsidR="0031539E" w14:paraId="114DC377" w14:textId="77777777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Поховання на почесному секторі кладовища - діяльність органу місцевого самоврядування, його посадових осіб у межах повноважень, визначених Законом України „ Про поховання та похоронну справу”, цим Положення</w:t>
      </w:r>
      <w:r>
        <w:rPr>
          <w:rFonts w:ascii="Times New Roman" w:hAnsi="Times New Roman"/>
          <w:sz w:val="28"/>
        </w:rPr>
        <w:t>м, а також суб’єктів господарювання, спрямована на :</w:t>
      </w:r>
    </w:p>
    <w:p w:rsidR="0031539E" w14:paraId="6F507475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належного ставлення до тіла (останків) померлого;</w:t>
      </w:r>
    </w:p>
    <w:p w:rsidR="0031539E" w14:paraId="7C90B099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права громадян на захоронення їхнього тіла відповідно до</w:t>
      </w:r>
    </w:p>
    <w:p w:rsidR="0031539E" w14:paraId="55D3E6C6" w14:textId="77777777">
      <w:pPr>
        <w:widowControl w:val="0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їх волевиявлення, якщо таке є;</w:t>
      </w:r>
    </w:p>
    <w:p w:rsidR="0031539E" w14:paraId="3D492A3F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права користувача місця по</w:t>
      </w:r>
      <w:r>
        <w:rPr>
          <w:rFonts w:ascii="Times New Roman" w:hAnsi="Times New Roman"/>
          <w:sz w:val="28"/>
        </w:rPr>
        <w:t>ховання на захоронення тіл померлих, які мають особливі заслуги  перед Броварською міською територіальною громадою та Батьківщиною, і учасників бойових дій на почесних секторах кладовищ громади;</w:t>
      </w:r>
    </w:p>
    <w:p w:rsidR="0031539E" w14:paraId="3AE69771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створення та експлуатацію об’єктів, призначених для поховання</w:t>
      </w:r>
      <w:r>
        <w:rPr>
          <w:rFonts w:ascii="Times New Roman" w:hAnsi="Times New Roman"/>
          <w:sz w:val="28"/>
        </w:rPr>
        <w:t>, утримання і збереження місць поховання на почесних секторах кладовищ громади;</w:t>
      </w:r>
    </w:p>
    <w:p w:rsidR="0031539E" w14:paraId="3B4C9AC0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організацію і проведення поховань померлих;</w:t>
      </w:r>
    </w:p>
    <w:p w:rsidR="0031539E" w14:paraId="04D98348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надання ритуальних послуг.</w:t>
      </w:r>
    </w:p>
    <w:p w:rsidR="0031539E" w14:paraId="278E183B" w14:textId="77777777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Правову основу діяльності в галузі поховання становлять Конституція України, Закон України „Про поховання</w:t>
      </w:r>
      <w:r>
        <w:rPr>
          <w:rFonts w:ascii="Times New Roman" w:hAnsi="Times New Roman"/>
          <w:sz w:val="28"/>
        </w:rPr>
        <w:t xml:space="preserve"> та похоронну справу”, інші нормативно- правові акти України.</w:t>
      </w:r>
    </w:p>
    <w:p w:rsidR="0031539E" w14:paraId="11445652" w14:textId="77777777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Діяльність у галузі поховання базується на таких основних принципах: </w:t>
      </w:r>
    </w:p>
    <w:p w:rsidR="0031539E" w14:paraId="05B034D3" w14:textId="77777777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гарантування державою належного поховання померлих;</w:t>
      </w:r>
    </w:p>
    <w:p w:rsidR="0031539E" w14:paraId="53E73C7F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достойного ставлення до тіла померлого;</w:t>
      </w:r>
    </w:p>
    <w:p w:rsidR="0031539E" w14:paraId="6908B6AA" w14:textId="77777777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поховання в </w:t>
      </w:r>
      <w:r>
        <w:rPr>
          <w:rFonts w:ascii="Times New Roman" w:hAnsi="Times New Roman"/>
          <w:sz w:val="28"/>
        </w:rPr>
        <w:t>установленому законодавством порядку з урахуванням волевиявлення померлого, вираженого особою при житті, а за його відсутності - з урахуванням побажань родичів;</w:t>
      </w:r>
    </w:p>
    <w:p w:rsidR="0031539E" w14:paraId="0E54927E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створення відповідних умов для поховання померлих;</w:t>
      </w:r>
    </w:p>
    <w:p w:rsidR="0031539E" w14:paraId="5D84B37A" w14:textId="77777777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компенсації державою витрат, пов’язаних з </w:t>
      </w:r>
      <w:r>
        <w:rPr>
          <w:rFonts w:ascii="Times New Roman" w:hAnsi="Times New Roman"/>
          <w:sz w:val="28"/>
        </w:rPr>
        <w:t>похованням померлих відповідно до Закону України „Про поховання та похоронну справу”;</w:t>
      </w:r>
    </w:p>
    <w:p w:rsidR="0031539E" w14:paraId="46E64901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безоплатного виділення місця для поховання померлих на кладовищі громади;</w:t>
      </w:r>
    </w:p>
    <w:p w:rsidR="0031539E" w14:paraId="0B8B849B" w14:textId="77777777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збереження місць поховання.</w:t>
      </w:r>
    </w:p>
    <w:p w:rsidR="0031539E" w14:paraId="026AEE9A" w14:textId="77777777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II.</w:t>
      </w:r>
    </w:p>
    <w:p w:rsidR="0031539E" w14:paraId="5B503793" w14:textId="77777777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проведення почесних поховань на поче</w:t>
      </w:r>
      <w:r>
        <w:rPr>
          <w:rFonts w:ascii="Times New Roman" w:hAnsi="Times New Roman"/>
          <w:b/>
          <w:sz w:val="28"/>
        </w:rPr>
        <w:t>сному секторі.</w:t>
      </w:r>
    </w:p>
    <w:p w:rsidR="0031539E" w14:paraId="2F70F3FF" w14:textId="77777777">
      <w:pPr>
        <w:widowControl w:val="0"/>
        <w:numPr>
          <w:ilvl w:val="0"/>
          <w:numId w:val="3"/>
        </w:numPr>
        <w:tabs>
          <w:tab w:val="left" w:pos="827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Відповідно до статті 23 Закону </w:t>
      </w:r>
      <w:bookmarkStart w:id="3" w:name="_Hlk142904839"/>
      <w:r>
        <w:rPr>
          <w:rFonts w:ascii="Times New Roman" w:hAnsi="Times New Roman"/>
          <w:sz w:val="28"/>
        </w:rPr>
        <w:t>України „Про поховання та похоронну справу ”</w:t>
      </w:r>
      <w:bookmarkEnd w:id="3"/>
      <w:r>
        <w:rPr>
          <w:rFonts w:ascii="Times New Roman" w:hAnsi="Times New Roman"/>
          <w:sz w:val="28"/>
        </w:rPr>
        <w:t xml:space="preserve"> на території кладовищ громади відводиться сектор для почесного поховання, та сектор для почесного поховання «Алея Слави» (для загиблих/померлих осіб-учасників бойови</w:t>
      </w:r>
      <w:r>
        <w:rPr>
          <w:rFonts w:ascii="Times New Roman" w:hAnsi="Times New Roman"/>
          <w:sz w:val="28"/>
        </w:rPr>
        <w:t>х дій, які приймали участь у відсічі військової агресії російської федерації з 2014 року).</w:t>
      </w:r>
    </w:p>
    <w:p w:rsidR="0031539E" w14:paraId="1B4D5634" w14:textId="77777777">
      <w:pPr>
        <w:widowControl w:val="0"/>
        <w:numPr>
          <w:ilvl w:val="0"/>
          <w:numId w:val="3"/>
        </w:numPr>
        <w:tabs>
          <w:tab w:val="left" w:pos="827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зазначених секторах кладовищ громади, відповідно до вимог статті 26 Закону України „Про поховання та похоронну справу», впроваджується традиційний вид поховання -</w:t>
      </w:r>
      <w:r>
        <w:rPr>
          <w:rFonts w:ascii="Times New Roman" w:hAnsi="Times New Roman"/>
          <w:sz w:val="28"/>
        </w:rPr>
        <w:t xml:space="preserve"> закопування в могилі труни з тілом померлого.</w:t>
      </w:r>
    </w:p>
    <w:p w:rsidR="0031539E" w14:paraId="00F0D732" w14:textId="77777777">
      <w:pPr>
        <w:widowControl w:val="0"/>
        <w:numPr>
          <w:ilvl w:val="0"/>
          <w:numId w:val="3"/>
        </w:numPr>
        <w:tabs>
          <w:tab w:val="left" w:pos="904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секторі кладовища, призначеному для почесних поховань, можуть бути поховані тіла осіб, членів громади, які внесли особливий вклад у розвиток країни, громади та мають особливі заслуги перед Батьківщиною або п</w:t>
      </w:r>
      <w:r>
        <w:rPr>
          <w:rFonts w:ascii="Times New Roman" w:hAnsi="Times New Roman"/>
          <w:sz w:val="28"/>
        </w:rPr>
        <w:t>еред  громадою, а саме особи передбачені Законом України «Про поховання та похоронну справу».</w:t>
      </w:r>
    </w:p>
    <w:p w:rsidR="0031539E" w14:paraId="327C4586" w14:textId="77777777">
      <w:pPr>
        <w:widowControl w:val="0"/>
        <w:numPr>
          <w:ilvl w:val="0"/>
          <w:numId w:val="3"/>
        </w:numPr>
        <w:tabs>
          <w:tab w:val="left" w:pos="880"/>
        </w:tabs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В секторі кладовища, призначеному для почесних поховань «Алея Слави» (для загиблих/померлих осіб-учасників бойових дій, які приймали участь у відсічі військової а</w:t>
      </w:r>
      <w:r>
        <w:rPr>
          <w:rFonts w:ascii="Times New Roman" w:hAnsi="Times New Roman"/>
          <w:sz w:val="28"/>
        </w:rPr>
        <w:t xml:space="preserve">гресії російської федерації проти України з 2014 року), можуть бути поховані тіла осіб, учасників бойових дій,  </w:t>
      </w:r>
      <w:r>
        <w:rPr>
          <w:rFonts w:ascii="Times New Roman" w:hAnsi="Times New Roman"/>
          <w:sz w:val="28"/>
        </w:rPr>
        <w:t>загинувших</w:t>
      </w:r>
      <w:r>
        <w:rPr>
          <w:rFonts w:ascii="Times New Roman" w:hAnsi="Times New Roman"/>
          <w:sz w:val="28"/>
        </w:rPr>
        <w:t>, померлих, які приймали участь у відсічі військової агресії російської федерації проти України з 2014 року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31539E" w14:paraId="6483ED89" w14:textId="77777777">
      <w:pPr>
        <w:widowControl w:val="0"/>
        <w:numPr>
          <w:ilvl w:val="0"/>
          <w:numId w:val="3"/>
        </w:numPr>
        <w:tabs>
          <w:tab w:val="left" w:pos="880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поховання на почесному секторі кладовища тіла померлого визначених категорій осіб, надається земельна ділянка в розмірах, передбачених для почесного поховання, затверджених наказом Держжитлокомунгоспу України від 19.11.2003р. №193 «Про затвердження нор</w:t>
      </w:r>
      <w:r>
        <w:rPr>
          <w:rFonts w:ascii="Times New Roman" w:hAnsi="Times New Roman"/>
          <w:sz w:val="28"/>
        </w:rPr>
        <w:t xml:space="preserve">мативно-правових актів щодо реалізації Закону України «Про поховання та похоронну справу». </w:t>
      </w:r>
    </w:p>
    <w:p w:rsidR="0031539E" w14:paraId="343C8D87" w14:textId="77777777">
      <w:pPr>
        <w:widowControl w:val="0"/>
        <w:numPr>
          <w:ilvl w:val="0"/>
          <w:numId w:val="3"/>
        </w:numPr>
        <w:tabs>
          <w:tab w:val="left" w:pos="832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проведення поховання, родина померлої особи (виконавець волевиявлення, особа, яка зобов’язалась поховати </w:t>
      </w:r>
      <w:bookmarkStart w:id="4" w:name="_Hlk142903458"/>
      <w:r>
        <w:rPr>
          <w:rFonts w:ascii="Times New Roman" w:hAnsi="Times New Roman"/>
          <w:sz w:val="28"/>
        </w:rPr>
        <w:t>померлого</w:t>
      </w:r>
      <w:bookmarkEnd w:id="4"/>
      <w:r>
        <w:rPr>
          <w:rFonts w:ascii="Times New Roman" w:hAnsi="Times New Roman"/>
          <w:sz w:val="28"/>
        </w:rPr>
        <w:t>, на підставі свідоцтва про смерть та документів, що підтверджують особливі заслуги перед Батьківщиною, громадою , звертаються до комуналь</w:t>
      </w:r>
      <w:r>
        <w:rPr>
          <w:rFonts w:ascii="Times New Roman" w:hAnsi="Times New Roman"/>
          <w:sz w:val="28"/>
        </w:rPr>
        <w:t>ного підприємства, що надає ритуальні послуги в галузі поховання у громаді, для оформлення відповідного договору - замовлення на організацію та проведення поховання.</w:t>
      </w:r>
    </w:p>
    <w:p w:rsidR="0031539E" w14:paraId="120E53A8" w14:textId="77777777">
      <w:pPr>
        <w:widowControl w:val="0"/>
        <w:numPr>
          <w:ilvl w:val="0"/>
          <w:numId w:val="3"/>
        </w:numPr>
        <w:tabs>
          <w:tab w:val="left" w:pos="832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виявлення бажання сім’ї померлого, проведення поховання іншою ритуальною службою, в</w:t>
      </w:r>
      <w:r>
        <w:rPr>
          <w:rFonts w:ascii="Times New Roman" w:hAnsi="Times New Roman"/>
          <w:sz w:val="28"/>
        </w:rPr>
        <w:t>ідповідні заходи проводяться за погодженням усіх необхідних питань з комунальним підприємством визначеним п. 6 Положення.</w:t>
      </w:r>
    </w:p>
    <w:p w:rsidR="0031539E" w14:paraId="4AABFED1" w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1012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наявності у померлої особи пільг на безоплатне поховання, порядок проведення такого поховання регламентується Постановою Кабіне</w:t>
      </w:r>
      <w:r>
        <w:rPr>
          <w:rFonts w:ascii="Times New Roman" w:hAnsi="Times New Roman"/>
          <w:sz w:val="28"/>
        </w:rPr>
        <w:t>ту Міністрів України від 28 жовтня 2004 року № 1445 „ Про затвердження Порядку проведення безоплатного поховання померлих осіб, які мають особливі заслуги та особливі трудові заслуги перед Батьківщиною, учасників бойових дій, постраждалих учасників Революц</w:t>
      </w:r>
      <w:r>
        <w:rPr>
          <w:rFonts w:ascii="Times New Roman" w:hAnsi="Times New Roman"/>
          <w:sz w:val="28"/>
        </w:rPr>
        <w:t>ії Гідності і осіб з інвалідністю внаслідок війни”.</w:t>
      </w:r>
    </w:p>
    <w:p w:rsidR="0031539E" w14:paraId="435B66E6" w14:textId="77777777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Військові почесті при організації почесного поховання надаються при похованні осіб, які визначені пунктами 3,4 цього розділу, згідно вимог чинного законодавства.</w:t>
      </w:r>
    </w:p>
    <w:p w:rsidR="0031539E" w14:paraId="248770A1" w14:textId="77777777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проведення</w:t>
      </w:r>
      <w:r>
        <w:rPr>
          <w:rFonts w:ascii="Times New Roman" w:hAnsi="Times New Roman"/>
          <w:color w:val="000000"/>
          <w:sz w:val="28"/>
          <w:vertAlign w:val="superscript"/>
        </w:rPr>
        <w:t>-</w:t>
      </w:r>
      <w:r>
        <w:rPr>
          <w:rFonts w:ascii="Times New Roman" w:hAnsi="Times New Roman"/>
          <w:color w:val="000000"/>
          <w:sz w:val="28"/>
        </w:rPr>
        <w:t xml:space="preserve"> обряду поховання регла</w:t>
      </w:r>
      <w:r>
        <w:rPr>
          <w:rFonts w:ascii="Times New Roman" w:hAnsi="Times New Roman"/>
          <w:color w:val="000000"/>
          <w:sz w:val="28"/>
        </w:rPr>
        <w:t>ментується наказом Держжитлокомунгоспу України від 11.04.2005 року № 53 „Про затвердження Рекомендацій щодо ритуалу проведення обряду „Поховання”.</w:t>
      </w:r>
    </w:p>
    <w:p w:rsidR="0031539E" w14:paraId="7AF8999D" w14:textId="77777777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Кожне почесне поховання реєструється у Книзі реєстрації поховань та перепоховань померлих громадян.</w:t>
      </w:r>
    </w:p>
    <w:p w:rsidR="0031539E" w14:paraId="2E2A2707" w14:textId="77777777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Після зді</w:t>
      </w:r>
      <w:r>
        <w:rPr>
          <w:rFonts w:ascii="Times New Roman" w:hAnsi="Times New Roman"/>
          <w:color w:val="000000"/>
          <w:sz w:val="28"/>
        </w:rPr>
        <w:t>йснення почесного поховання на могилі, в межах наданої земельної ділянки, можуть встановлюватися намогильні споруди та елементи благоустрою могили. Порядок встановлення намогильної споруди регламентовано главою 2 Порядку утримання кладовищ та інших місць п</w:t>
      </w:r>
      <w:r>
        <w:rPr>
          <w:rFonts w:ascii="Times New Roman" w:hAnsi="Times New Roman"/>
          <w:color w:val="000000"/>
          <w:sz w:val="28"/>
        </w:rPr>
        <w:t>оховання, затвердженого наказом Держжитлокомунгоспу України від 19.11.2003р. № 193 «Про затвердження нормативно-правових актів щодо реалізації Закону України «Про поховання та похоронну справу».</w:t>
      </w:r>
    </w:p>
    <w:p w:rsidR="0031539E" w14:paraId="22280F49" w14:textId="77777777">
      <w:pPr>
        <w:widowControl w:val="0"/>
        <w:numPr>
          <w:ilvl w:val="0"/>
          <w:numId w:val="3"/>
        </w:numPr>
        <w:tabs>
          <w:tab w:val="left" w:pos="1214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Підпоховання</w:t>
      </w:r>
      <w:r>
        <w:rPr>
          <w:rFonts w:ascii="Times New Roman" w:hAnsi="Times New Roman"/>
          <w:color w:val="000000"/>
          <w:sz w:val="28"/>
        </w:rPr>
        <w:t xml:space="preserve"> померлих членів родини до існуючої могили на сек</w:t>
      </w:r>
      <w:r>
        <w:rPr>
          <w:rFonts w:ascii="Times New Roman" w:hAnsi="Times New Roman"/>
          <w:color w:val="000000"/>
          <w:sz w:val="28"/>
        </w:rPr>
        <w:t>торах кладовищ громади для почесних поховань, не допускається.</w:t>
      </w:r>
    </w:p>
    <w:p w:rsidR="0031539E" w14:paraId="75DF31E4" w14:textId="77777777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Родина померлого, виконавці волевиявлення померлого чи особи, які здійснили поховання померлого чи інші особи забезпечують утримання могил на почесному секторі поховання у належному стані.</w:t>
      </w:r>
    </w:p>
    <w:p w:rsidR="006D53A5" w14:paraId="5A5354A4" w14:textId="77777777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</w:p>
    <w:p w:rsidR="0031539E" w14:paraId="0E89F7E2" w14:textId="6CE64E36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</w:t>
      </w:r>
      <w:r>
        <w:rPr>
          <w:rFonts w:ascii="Times New Roman" w:hAnsi="Times New Roman"/>
          <w:b/>
          <w:color w:val="000000"/>
          <w:sz w:val="28"/>
        </w:rPr>
        <w:t>іл III.</w:t>
      </w:r>
    </w:p>
    <w:p w:rsidR="0031539E" w14:paraId="5DF75CE9" w14:textId="77777777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bookmarkStart w:id="5" w:name="2et92p0"/>
      <w:bookmarkStart w:id="6" w:name="3znysh7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t>Організація місць поховання.</w:t>
      </w:r>
    </w:p>
    <w:p w:rsidR="0031539E" w14:paraId="75B43F3E" w14:textId="77777777">
      <w:pPr>
        <w:widowControl w:val="0"/>
        <w:numPr>
          <w:ilvl w:val="0"/>
          <w:numId w:val="4"/>
        </w:numPr>
        <w:tabs>
          <w:tab w:val="left" w:pos="1028"/>
        </w:tabs>
        <w:ind w:firstLine="7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розміщення місця поховання рішенням уповноваженого органу в установленому законом порядку відповідному спеціалізованому комунальному підприємству, установі, організації в постійне користування надається </w:t>
      </w:r>
      <w:r>
        <w:rPr>
          <w:rFonts w:ascii="Times New Roman" w:hAnsi="Times New Roman"/>
          <w:color w:val="000000"/>
          <w:sz w:val="28"/>
        </w:rPr>
        <w:t>земельна ділянка. Право надання ритуальних послуг визначається статтею 12 Закону України „Про поховання та похоронну справу”.</w:t>
      </w:r>
    </w:p>
    <w:p w:rsidR="0031539E" w14:paraId="1EEB1D3E" w14:textId="77777777">
      <w:pPr>
        <w:widowControl w:val="0"/>
        <w:numPr>
          <w:ilvl w:val="0"/>
          <w:numId w:val="4"/>
        </w:numPr>
        <w:tabs>
          <w:tab w:val="left" w:pos="1023"/>
        </w:tabs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Існуючі місця поховання не підлягають знесенню і можуть бути перенесені за рішенням виконавчого комітету у випадках, визначених За</w:t>
      </w:r>
      <w:r>
        <w:rPr>
          <w:rFonts w:ascii="Times New Roman" w:hAnsi="Times New Roman"/>
          <w:sz w:val="28"/>
        </w:rPr>
        <w:t>коном України „Про поховання та похоронну справу”.</w:t>
      </w:r>
    </w:p>
    <w:p w:rsidR="0031539E" w14:paraId="3CCDA6C5" w14:textId="77777777">
      <w:pPr>
        <w:widowControl w:val="0"/>
        <w:numPr>
          <w:ilvl w:val="0"/>
          <w:numId w:val="4"/>
        </w:numPr>
        <w:tabs>
          <w:tab w:val="left" w:pos="1023"/>
        </w:tabs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про часткове або повне припинення поховання померлих приймається виконавчим комітетом.</w:t>
      </w:r>
    </w:p>
    <w:p w:rsidR="0031539E" w14:paraId="3883A5D7" w14:textId="77777777">
      <w:pPr>
        <w:widowControl w:val="0"/>
        <w:numPr>
          <w:ilvl w:val="0"/>
          <w:numId w:val="4"/>
        </w:numPr>
        <w:tabs>
          <w:tab w:val="left" w:pos="1186"/>
        </w:tabs>
        <w:ind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Утримання території у секторах для почесних поховань кладовищ забезпечується виконавчим органом міської </w:t>
      </w:r>
      <w:r>
        <w:rPr>
          <w:rFonts w:ascii="Times New Roman" w:hAnsi="Times New Roman"/>
          <w:color w:val="000000"/>
          <w:sz w:val="28"/>
        </w:rPr>
        <w:t>ради за рахунок коштів місцевого бюджету.</w:t>
      </w:r>
    </w:p>
    <w:p w:rsidR="0031539E" w14:paraId="2D7DED84" w14:textId="77777777">
      <w:pPr>
        <w:widowControl w:val="0"/>
        <w:numPr>
          <w:ilvl w:val="0"/>
          <w:numId w:val="4"/>
        </w:numPr>
        <w:tabs>
          <w:tab w:val="left" w:pos="1186"/>
        </w:tabs>
        <w:ind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Утримання в належному естетичному та санітарному стані могил, намогильних споруд на почесному секторі здійснюється користувачами місць поховання за рахунок власних коштів.</w:t>
      </w:r>
    </w:p>
    <w:p w:rsidR="0031539E" w14:paraId="530DB492" w14:textId="77777777">
      <w:pPr>
        <w:widowControl w:val="0"/>
        <w:jc w:val="center"/>
        <w:rPr>
          <w:rFonts w:ascii="Times New Roman" w:hAnsi="Times New Roman"/>
          <w:iCs/>
          <w:sz w:val="28"/>
          <w:szCs w:val="28"/>
        </w:rPr>
      </w:pPr>
    </w:p>
    <w:p w:rsidR="0031539E" w14:paraId="4FD53A27" w14:textId="77777777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IV.</w:t>
      </w:r>
    </w:p>
    <w:p w:rsidR="0031539E" w14:paraId="4224C056" w14:textId="77777777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Відповідальність за порушення </w:t>
      </w:r>
      <w:r>
        <w:rPr>
          <w:rFonts w:ascii="Times New Roman" w:hAnsi="Times New Roman"/>
          <w:b/>
          <w:color w:val="000000"/>
          <w:sz w:val="28"/>
        </w:rPr>
        <w:t>законодавства</w:t>
      </w:r>
    </w:p>
    <w:p w:rsidR="0031539E" w14:paraId="16F378BD" w14:textId="77777777">
      <w:pPr>
        <w:widowControl w:val="0"/>
        <w:ind w:right="3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 поховання померлих.</w:t>
      </w:r>
    </w:p>
    <w:p w:rsidR="0031539E" w14:paraId="156BA7CE" w14:textId="77777777">
      <w:pPr>
        <w:widowControl w:val="0"/>
        <w:numPr>
          <w:ilvl w:val="0"/>
          <w:numId w:val="5"/>
        </w:numPr>
        <w:tabs>
          <w:tab w:val="left" w:pos="1210"/>
        </w:tabs>
        <w:ind w:left="24" w:right="34"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Особи, винні в порушенні законодавства про поховання померлих, несуть відповідальність згідно із законодавством України.</w:t>
      </w:r>
    </w:p>
    <w:p w:rsidR="0031539E" w14:paraId="5E1145B4" w14:textId="77777777">
      <w:pPr>
        <w:widowControl w:val="0"/>
        <w:numPr>
          <w:ilvl w:val="0"/>
          <w:numId w:val="5"/>
        </w:numPr>
        <w:tabs>
          <w:tab w:val="left" w:pos="1210"/>
        </w:tabs>
        <w:spacing w:after="220"/>
        <w:ind w:left="24" w:right="34"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охорони місць поховання та порядок фінансування пов’язаних із цим витрат визначаються ріш</w:t>
      </w:r>
      <w:r>
        <w:rPr>
          <w:rFonts w:ascii="Times New Roman" w:hAnsi="Times New Roman"/>
          <w:color w:val="000000"/>
          <w:sz w:val="28"/>
        </w:rPr>
        <w:t>енням виконавчого комітету.</w:t>
      </w:r>
    </w:p>
    <w:p w:rsidR="0031539E" w14:paraId="57ABE940" w14:textId="77777777">
      <w:pPr>
        <w:widowControl w:val="0"/>
        <w:tabs>
          <w:tab w:val="left" w:pos="1023"/>
        </w:tabs>
        <w:ind w:firstLine="400"/>
        <w:jc w:val="both"/>
        <w:rPr>
          <w:rFonts w:ascii="Times New Roman" w:hAnsi="Times New Roman"/>
          <w:iCs/>
          <w:sz w:val="28"/>
          <w:szCs w:val="28"/>
        </w:rPr>
      </w:pPr>
    </w:p>
    <w:p w:rsidR="0031539E" w14:paraId="79201470" w14:textId="77777777">
      <w:pPr>
        <w:widowControl w:val="0"/>
        <w:tabs>
          <w:tab w:val="left" w:pos="1023"/>
        </w:tabs>
        <w:ind w:firstLine="4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Міський голова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Ігор САПОЖКО</w:t>
      </w:r>
    </w:p>
    <w:p w:rsidR="0031539E" w14:paraId="5EBD04DF" w14:textId="77777777">
      <w:pPr>
        <w:widowControl w:val="0"/>
        <w:rPr>
          <w:rFonts w:ascii="Times New Roman" w:hAnsi="Times New Roman"/>
          <w:iCs/>
          <w:sz w:val="28"/>
          <w:szCs w:val="28"/>
        </w:rPr>
      </w:pPr>
    </w:p>
    <w:p w:rsidR="0031539E" w14:paraId="1470C657" w14:textId="77777777">
      <w:pPr>
        <w:widowControl w:val="0"/>
        <w:shd w:val="clear" w:color="auto" w:fill="FFFFFF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ermEnd w:id="0"/>
    <w:p w:rsidR="0031539E" w14:paraId="4575BD97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9E" w14:paraId="3F67C7C2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31539E" w14:paraId="0B6738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39E" w14:paraId="692CEF8F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7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7"/>
  <w:p w:rsidR="0031539E" w14:paraId="7BEF1D55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534CC8A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  <w:b w:val="0"/>
        <w:i w:val="0"/>
        <w:color w:val="000000"/>
        <w:sz w:val="28"/>
        <w:u w:val="none"/>
        <w:shd w:val="clear" w:color="auto" w:fill="auto"/>
        <w:vertAlign w:val="baseline"/>
      </w:rPr>
    </w:lvl>
    <w:lvl w:ilvl="1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63AC27A6"/>
    <w:lvl w:ilvl="0">
      <w:start w:val="1"/>
      <w:numFmt w:val="bullet"/>
      <w:lvlText w:val="-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  <w:b w:val="0"/>
        <w:i w:val="0"/>
        <w:color w:val="000000"/>
        <w:sz w:val="28"/>
        <w:u w:val="none"/>
        <w:shd w:val="clear" w:color="auto" w:fill="auto"/>
        <w:vertAlign w:val="baseline"/>
      </w:rPr>
    </w:lvl>
    <w:lvl w:ilvl="1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5C209278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  <w:b w:val="0"/>
        <w:i w:val="0"/>
        <w:color w:val="000000"/>
        <w:sz w:val="28"/>
        <w:u w:val="none"/>
        <w:shd w:val="clear" w:color="auto" w:fill="auto"/>
        <w:vertAlign w:val="baseline"/>
      </w:rPr>
    </w:lvl>
    <w:lvl w:ilvl="1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88F80328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  <w:b w:val="0"/>
        <w:i w:val="0"/>
        <w:color w:val="000000"/>
        <w:sz w:val="28"/>
        <w:u w:val="none"/>
        <w:shd w:val="clear" w:color="auto" w:fill="auto"/>
        <w:vertAlign w:val="baseline"/>
      </w:rPr>
    </w:lvl>
    <w:lvl w:ilvl="1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65DADA2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  <w:b w:val="0"/>
        <w:i w:val="0"/>
        <w:color w:val="000000"/>
        <w:sz w:val="28"/>
        <w:u w:val="none"/>
        <w:shd w:val="clear" w:color="auto" w:fill="auto"/>
        <w:vertAlign w:val="baseline"/>
      </w:rPr>
    </w:lvl>
    <w:lvl w:ilvl="1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  <w:ind w:left="0" w:firstLine="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1539E"/>
    <w:rsid w:val="0031539E"/>
    <w:rsid w:val="00636A76"/>
    <w:rsid w:val="006D5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6AD5E"/>
  <w15:docId w15:val="{CDB56804-EFCC-485C-BA21-AB26123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6608</Characters>
  <Application>Microsoft Office Word</Application>
  <DocSecurity>8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2023-08-18T08:03:00Z</dcterms:modified>
</cp:coreProperties>
</file>