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80F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6F5472B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AB80262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50402133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24120105" w14:textId="77777777" w:rsidR="001D09CC" w:rsidRPr="001D09CC" w:rsidRDefault="007C40C2" w:rsidP="001D09CC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14:paraId="61BDD8FC" w14:textId="77777777" w:rsidR="001D09CC" w:rsidRPr="001D09CC" w:rsidRDefault="001D09CC" w:rsidP="001D09CC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696D5D65" w14:textId="4B3A26EB" w:rsidR="007C40C2" w:rsidRPr="00E23F55" w:rsidRDefault="001D09CC" w:rsidP="001D09CC">
      <w:pPr>
        <w:pStyle w:val="2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бульв.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Незалежності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, 42 в м.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Бровари</w:t>
      </w:r>
      <w:proofErr w:type="spellEnd"/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»</w:t>
      </w:r>
    </w:p>
    <w:p w14:paraId="23A4D03F" w14:textId="77777777" w:rsidR="007C40C2" w:rsidRPr="00B37854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D5D197" w14:textId="77777777" w:rsidR="007C40C2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bookmarkStart w:id="1" w:name="_Hlk130391616"/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9D63306" w14:textId="77777777" w:rsidR="007C40C2" w:rsidRPr="00687EB6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49702440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E2B987E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19861389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47A828B0" w14:textId="55C4928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7C40C2" w:rsidRPr="005E00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DD170" w14:textId="6AD75D29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431996E9" w14:textId="4DE66DC8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835A2C" w:rsidRPr="004773B0">
        <w:rPr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3F8B" w:rsidRPr="00BB3F8B">
        <w:rPr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 Закону України “Про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2CB971" w14:textId="64222ADC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1D09CC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Pr="00E54C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77E">
        <w:rPr>
          <w:rFonts w:ascii="Times New Roman" w:hAnsi="Times New Roman"/>
          <w:sz w:val="28"/>
          <w:szCs w:val="28"/>
          <w:lang w:val="uk-UA"/>
        </w:rPr>
        <w:t>3,2826га</w:t>
      </w:r>
      <w:r w:rsidRPr="007124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r w:rsidRPr="00936A2F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 xml:space="preserve">розміщення та експлуатації основних підсобних і допоміжних будівель та споруд будівельних організацій </w:t>
      </w:r>
      <w:r w:rsidRPr="001A649F">
        <w:rPr>
          <w:rFonts w:ascii="Times New Roman" w:hAnsi="Times New Roman"/>
          <w:sz w:val="28"/>
          <w:szCs w:val="28"/>
          <w:lang w:val="uk-UA"/>
        </w:rPr>
        <w:t>та підприємств</w:t>
      </w:r>
      <w:r>
        <w:rPr>
          <w:rFonts w:ascii="Times New Roman" w:hAnsi="Times New Roman"/>
          <w:sz w:val="28"/>
          <w:szCs w:val="28"/>
          <w:lang w:val="uk-UA"/>
        </w:rPr>
        <w:t xml:space="preserve">, розташованої по </w:t>
      </w:r>
      <w:r w:rsidR="005F37F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бульв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Незалежності,</w:t>
      </w:r>
      <w:r w:rsidR="005F37F5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42 в 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315A1CB" w14:textId="36F12794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3%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, встановлюється враховуючи рішення Броварської міської ради Броварського району Київської області від 28.06.2022року 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               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 №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749-28-08</w:t>
      </w:r>
      <w:r w:rsidRPr="005F37F5">
        <w:rPr>
          <w:lang w:val="uk-UA"/>
        </w:rPr>
        <w:t xml:space="preserve"> </w:t>
      </w:r>
      <w:r w:rsidRPr="00835A2C">
        <w:rPr>
          <w:lang w:val="uk-UA"/>
        </w:rPr>
        <w:t>«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5E181F9C" w14:textId="617D1E92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89FE73D" w14:textId="6FA59A81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 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2939A227" w14:textId="44B686BB" w:rsidR="00835A2C" w:rsidRPr="001D09CC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Оскільки </w:t>
      </w:r>
      <w:r w:rsidRPr="00993D0F">
        <w:rPr>
          <w:rFonts w:ascii="Times New Roman" w:hAnsi="Times New Roman"/>
          <w:sz w:val="28"/>
          <w:szCs w:val="28"/>
          <w:lang w:val="uk-UA"/>
        </w:rPr>
        <w:t>стартов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93D0F">
        <w:rPr>
          <w:rFonts w:ascii="Times New Roman" w:hAnsi="Times New Roman"/>
          <w:sz w:val="28"/>
          <w:szCs w:val="28"/>
          <w:lang w:val="uk-UA"/>
        </w:rPr>
        <w:t xml:space="preserve"> цін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93D0F">
        <w:rPr>
          <w:rFonts w:ascii="Times New Roman" w:hAnsi="Times New Roman"/>
          <w:sz w:val="28"/>
          <w:szCs w:val="28"/>
          <w:lang w:val="uk-UA"/>
        </w:rPr>
        <w:t xml:space="preserve"> лота в розмірі річної орендної плати</w:t>
      </w:r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визначена на підставі нормативної грошової оцінки земельної ділянки станом на 2023рік,  </w:t>
      </w:r>
      <w:bookmarkStart w:id="2" w:name="_Hlk130391321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bookmarkEnd w:id="2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абзац 3 пункту 1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рішення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Броварської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міської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ради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Київської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області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від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07.06.2016 року № 222-15-07 «Про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затвердження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переліку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, право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оренди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на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які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виставляється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для продажу та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що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виставляються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для продажу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окремими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лотами на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конкурентних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засадах (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торгах)»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, де бул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визначен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стартова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ціна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лота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станом на 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2016 рік,</w:t>
      </w:r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втратив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чинність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60C71044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lastRenderedPageBreak/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FC7F6DD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5566748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EC51DAF" w14:textId="1554509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надійдуть кошти до місцевого бюджету від продажу права оренди земельної ділянки.</w:t>
      </w:r>
    </w:p>
    <w:p w14:paraId="0B1084F7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13C9A8A9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A582653" w14:textId="205F6EEB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62C30A34" w14:textId="3FDA9C2C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Особа, відповідальна за підготовку проекту рішення – начальник відділу землеустрою Святна Т.І.</w:t>
      </w:r>
    </w:p>
    <w:p w14:paraId="3E8B4811" w14:textId="77777777" w:rsidR="00835A2C" w:rsidRDefault="00835A2C" w:rsidP="00835A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val="uk-UA" w:eastAsia="zh-CN"/>
        </w:rPr>
        <w:t>7. 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5A2C" w14:paraId="3632A4E5" w14:textId="77777777" w:rsidTr="006A342F">
        <w:tc>
          <w:tcPr>
            <w:tcW w:w="4672" w:type="dxa"/>
          </w:tcPr>
          <w:p w14:paraId="00589703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82596">
              <w:rPr>
                <w:rFonts w:ascii="Times New Roman" w:hAnsi="Times New Roman" w:cs="Times New Roman"/>
                <w:sz w:val="28"/>
                <w:szCs w:val="28"/>
              </w:rPr>
              <w:t xml:space="preserve">Чинна </w:t>
            </w: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редакція</w:t>
            </w:r>
            <w:proofErr w:type="spellEnd"/>
          </w:p>
        </w:tc>
        <w:tc>
          <w:tcPr>
            <w:tcW w:w="4673" w:type="dxa"/>
          </w:tcPr>
          <w:p w14:paraId="61A5F19B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Запропоновані</w:t>
            </w:r>
            <w:proofErr w:type="spellEnd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</w:p>
        </w:tc>
      </w:tr>
      <w:tr w:rsidR="00835A2C" w14:paraId="6719267C" w14:textId="77777777" w:rsidTr="006A342F">
        <w:tc>
          <w:tcPr>
            <w:tcW w:w="4672" w:type="dxa"/>
          </w:tcPr>
          <w:p w14:paraId="6DE41028" w14:textId="77777777" w:rsidR="00835A2C" w:rsidRPr="00835A2C" w:rsidRDefault="00835A2C" w:rsidP="00835A2C">
            <w:pPr>
              <w:pStyle w:val="af"/>
              <w:ind w:right="-7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5A2C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стартову ціну лота в розмірі річної орендної плати, що складає 6% від нормативної грошової оцінки та становить 832 749,66грн. (Вісімсот тридцять дві тисячі сімсот сорок дев’ять грн. 66коп.).</w:t>
            </w:r>
          </w:p>
          <w:p w14:paraId="4FECC865" w14:textId="1A168B20" w:rsidR="00835A2C" w:rsidRPr="00B82596" w:rsidRDefault="00835A2C" w:rsidP="006A342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673" w:type="dxa"/>
          </w:tcPr>
          <w:p w14:paraId="49D0B769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8259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Визнати таким, що втратив чинність</w:t>
            </w:r>
          </w:p>
        </w:tc>
      </w:tr>
    </w:tbl>
    <w:p w14:paraId="40A61548" w14:textId="77777777" w:rsidR="00835A2C" w:rsidRPr="00835A2C" w:rsidRDefault="00835A2C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085F8A2" w14:textId="77777777" w:rsidR="00A16067" w:rsidRPr="00A16067" w:rsidRDefault="00A16067" w:rsidP="00DA3DB5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EA05431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37CAA083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0BE2997A" w14:textId="31BD813F" w:rsidR="00722357" w:rsidRPr="005A395C" w:rsidRDefault="008063EE" w:rsidP="00D072D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</w:t>
      </w:r>
      <w:r w:rsidR="00D072D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Світлана МАЙБОРОДА</w:t>
      </w: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9D53" w14:textId="77777777" w:rsidR="002452E6" w:rsidRDefault="002452E6" w:rsidP="00296D41">
      <w:pPr>
        <w:spacing w:after="0" w:line="240" w:lineRule="auto"/>
      </w:pPr>
      <w:r>
        <w:separator/>
      </w:r>
    </w:p>
  </w:endnote>
  <w:endnote w:type="continuationSeparator" w:id="0">
    <w:p w14:paraId="46D66A8A" w14:textId="77777777" w:rsidR="002452E6" w:rsidRDefault="002452E6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AF40" w14:textId="77777777" w:rsidR="002452E6" w:rsidRDefault="002452E6" w:rsidP="00296D41">
      <w:pPr>
        <w:spacing w:after="0" w:line="240" w:lineRule="auto"/>
      </w:pPr>
      <w:r>
        <w:separator/>
      </w:r>
    </w:p>
  </w:footnote>
  <w:footnote w:type="continuationSeparator" w:id="0">
    <w:p w14:paraId="6013FD67" w14:textId="77777777" w:rsidR="002452E6" w:rsidRDefault="002452E6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5C7F08E0" w14:textId="4175FFC3" w:rsidR="00296D41" w:rsidRDefault="00296D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CE5E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44FF9"/>
    <w:rsid w:val="002452E6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47AA4"/>
    <w:rsid w:val="003613A9"/>
    <w:rsid w:val="00361CD8"/>
    <w:rsid w:val="00364AD5"/>
    <w:rsid w:val="003909A8"/>
    <w:rsid w:val="00397833"/>
    <w:rsid w:val="003B16E0"/>
    <w:rsid w:val="003C57FE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B19EA"/>
    <w:rsid w:val="004C75B6"/>
    <w:rsid w:val="004D1425"/>
    <w:rsid w:val="005007E6"/>
    <w:rsid w:val="005026AD"/>
    <w:rsid w:val="00516EEE"/>
    <w:rsid w:val="0052372E"/>
    <w:rsid w:val="00525C68"/>
    <w:rsid w:val="005423B8"/>
    <w:rsid w:val="00544CAA"/>
    <w:rsid w:val="005645CB"/>
    <w:rsid w:val="005766FF"/>
    <w:rsid w:val="005B1C08"/>
    <w:rsid w:val="005B75FD"/>
    <w:rsid w:val="005C168A"/>
    <w:rsid w:val="005E00F3"/>
    <w:rsid w:val="005E024C"/>
    <w:rsid w:val="005F334B"/>
    <w:rsid w:val="005F37F5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C0A64"/>
    <w:rsid w:val="007C40C2"/>
    <w:rsid w:val="007D0822"/>
    <w:rsid w:val="008063EE"/>
    <w:rsid w:val="00827775"/>
    <w:rsid w:val="00835A2C"/>
    <w:rsid w:val="008404C9"/>
    <w:rsid w:val="00854800"/>
    <w:rsid w:val="008652AD"/>
    <w:rsid w:val="00866356"/>
    <w:rsid w:val="00894B45"/>
    <w:rsid w:val="008E203D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D0368"/>
    <w:rsid w:val="00AD5839"/>
    <w:rsid w:val="00B325AA"/>
    <w:rsid w:val="00B35D4C"/>
    <w:rsid w:val="00B621FE"/>
    <w:rsid w:val="00B74CB4"/>
    <w:rsid w:val="00BB3F8B"/>
    <w:rsid w:val="00BB4FAE"/>
    <w:rsid w:val="00BB7C24"/>
    <w:rsid w:val="00BF767C"/>
    <w:rsid w:val="00BF7822"/>
    <w:rsid w:val="00C22A37"/>
    <w:rsid w:val="00C677B1"/>
    <w:rsid w:val="00C75A46"/>
    <w:rsid w:val="00CB42D9"/>
    <w:rsid w:val="00CE22F6"/>
    <w:rsid w:val="00CF4544"/>
    <w:rsid w:val="00D072D0"/>
    <w:rsid w:val="00D132B1"/>
    <w:rsid w:val="00D20280"/>
    <w:rsid w:val="00D5160C"/>
    <w:rsid w:val="00D82E30"/>
    <w:rsid w:val="00D92C45"/>
    <w:rsid w:val="00DA3DB5"/>
    <w:rsid w:val="00DE3F5F"/>
    <w:rsid w:val="00DE4E52"/>
    <w:rsid w:val="00E1160A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3767"/>
  <w15:docId w15:val="{74FE219F-8BE7-470B-87B6-E889D2AE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2023-04-07T08:40:00Z</cp:lastPrinted>
  <dcterms:created xsi:type="dcterms:W3CDTF">2023-03-22T13:24:00Z</dcterms:created>
  <dcterms:modified xsi:type="dcterms:W3CDTF">2023-04-07T08:41:00Z</dcterms:modified>
</cp:coreProperties>
</file>