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-284" w:left="567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-284" w:left="567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Пояснювальна записка 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 проєкту рішення "Про внесення змін до Програми фінансової підтримки комунального підприємства Броварської міської ради Броварського району Київської області  "Центр інформаційних технологій міста" на 2023-2027 роки"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keepNext w:val="true"/>
        <w:numPr>
          <w:ilvl w:val="0"/>
          <w:numId w:val="5"/>
        </w:numPr>
        <w:tabs>
          <w:tab w:val="left" w:pos="576" w:leader="none"/>
        </w:tabs>
        <w:suppressAutoHyphens w:val="true"/>
        <w:spacing w:before="0" w:after="0" w:line="240"/>
        <w:ind w:right="0" w:left="14" w:firstLine="686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ґрунтування необхідності прийняття рішення</w:t>
      </w:r>
    </w:p>
    <w:p>
      <w:pPr>
        <w:keepNext w:val="true"/>
        <w:numPr>
          <w:ilvl w:val="0"/>
          <w:numId w:val="5"/>
        </w:numPr>
        <w:tabs>
          <w:tab w:val="left" w:pos="576" w:leader="none"/>
        </w:tabs>
        <w:suppressAutoHyphens w:val="true"/>
        <w:spacing w:before="0" w:after="0" w:line="240"/>
        <w:ind w:right="0" w:left="14" w:firstLine="686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Згідно рішення сесії Броварської міської ради від 23.12.2022р.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8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979-39-08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 затвердження Програми фінансової підтримки Комунального підприємства Броварської міської ради Броварського району Київської області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Центр інформаційних технологій міста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2023-2027 роки було затверджено фінансову підтримку програми на 2023 рік  в сумі 2000,0 тис.грн. З них на оплату комунальних послуг та енергоносіїв 10,0 тис. грн.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Переглянувши фактичні потреби підприємства виникла додаткова потреба в розмірі 30,0 тис. грн на відшкодування комунальних послуг та енергоносіїв по загальному фонду, пропонується змінити призначення коштів, а саме збільшити фінансування на оплату оплату комунальних послуг та енергоносіїв на 30,0 тис.грн та зменшити фінансування підприємства на придбання предметів, матеріалів, обладнання та інвентарю.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  <w:tab/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2.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Мета і шляхи її досягнення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Забезпечення фінансування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Програми фінансової підтримки комунального підприємства Броварської міської ради Броварського району Київської області  "Центр інформаційних технологій міста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на  2023-2027 роки відповідно до Додатку до Програми (фінансування Програми) з метою недопущення заборгованості підприємства за комунальні послуги пропоуується змінити призначення коштів в межах фінансування програми.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Правові аспекти </w:t>
      </w:r>
    </w:p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Статті 26 Закону України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Про місцеве самоврядування в Україні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Фінансово-економічне об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ґрунтування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Прийняття цього рішення не передбачає додаткового фінансування.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auto" w:val="clear"/>
        </w:rPr>
        <w:t xml:space="preserve">Прогноз результатів</w:t>
      </w:r>
    </w:p>
    <w:p>
      <w:pPr>
        <w:spacing w:before="0" w:after="0" w:line="240"/>
        <w:ind w:right="0" w:left="0" w:firstLine="709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 xml:space="preserve">Забезпечення безперервної діяльності підприємства, його розвиток та всебічна та повноцінна реалізація його господарського потенціалу.</w:t>
      </w:r>
    </w:p>
    <w:p>
      <w:pPr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auto" w:val="clear"/>
        </w:rPr>
        <w:tab/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6.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FFFFFF" w:val="clear"/>
        </w:rPr>
        <w:t xml:space="preserve">Суб’єкт подання проекту рішення 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FFFF00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Доповідач проекту рішення: - ЛЕНЧИЦЬКА Людмила Анатоліївна- керуючий  справами виконавчого комітету.</w:t>
      </w:r>
    </w:p>
    <w:p>
      <w:pPr>
        <w:spacing w:before="0" w:after="20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Відповідальний за підготовку проекту рішення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МІТЛА Віктор Вікторович, тимчасово виконуючий обов’язки директора Комунального підприємства Броварської міської ради Броварського району Київської області  "Центр інформаційних технологій міста", контактні дані : +380937276167</w:t>
      </w:r>
    </w:p>
    <w:p>
      <w:pPr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Порівняльна таблиця до проекту рішення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567"/>
        <w:gridCol w:w="1730"/>
        <w:gridCol w:w="1418"/>
        <w:gridCol w:w="1701"/>
        <w:gridCol w:w="992"/>
        <w:gridCol w:w="1701"/>
        <w:gridCol w:w="1701"/>
      </w:tblGrid>
      <w:tr>
        <w:trPr>
          <w:trHeight w:val="1" w:hRule="atLeast"/>
          <w:jc w:val="left"/>
        </w:trPr>
        <w:tc>
          <w:tcPr>
            <w:tcW w:w="5416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Затверджене фінансування Програми на 2023 рік 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рішення  від 23.12.2022 </w:t>
            </w:r>
            <w:r>
              <w:rPr>
                <w:rFonts w:ascii="Segoe UI Symbol" w:hAnsi="Segoe UI Symbol" w:cs="Segoe UI Symbol" w:eastAsia="Segoe UI Symbol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 979-39-08 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Зміни</w:t>
            </w:r>
          </w:p>
        </w:tc>
        <w:tc>
          <w:tcPr>
            <w:tcW w:w="34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Проєкт фінансування Програми у новій редакції  на 2023 рік</w:t>
            </w:r>
          </w:p>
          <w:p>
            <w:pPr>
              <w:spacing w:before="0" w:after="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запропонована редакція)</w:t>
            </w:r>
          </w:p>
        </w:tc>
      </w:tr>
      <w:tr>
        <w:trPr>
          <w:trHeight w:val="925" w:hRule="auto"/>
          <w:jc w:val="left"/>
        </w:trPr>
        <w:tc>
          <w:tcPr>
            <w:tcW w:w="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Segoe UI Symbol" w:hAnsi="Segoe UI Symbol" w:cs="Segoe UI Symbol" w:eastAsia="Segoe UI Symbol"/>
                <w:color w:val="auto"/>
                <w:spacing w:val="0"/>
                <w:position w:val="0"/>
                <w:sz w:val="20"/>
                <w:shd w:fill="auto" w:val="clear"/>
              </w:rPr>
              <w:t xml:space="preserve">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п/п</w:t>
            </w:r>
          </w:p>
        </w:tc>
        <w:tc>
          <w:tcPr>
            <w:tcW w:w="173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Зміст заходів по програмі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Обсяги фінансування, тис. грн </w:t>
            </w: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Джерело фінансування</w:t>
            </w:r>
          </w:p>
        </w:tc>
        <w:tc>
          <w:tcPr>
            <w:tcW w:w="99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Обсяги фінансування (тис. грн)  та період (січень-грудень)</w:t>
            </w:r>
          </w:p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0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Джерело фінансування</w:t>
            </w:r>
          </w:p>
        </w:tc>
      </w:tr>
      <w:tr>
        <w:trPr>
          <w:trHeight w:val="480" w:hRule="auto"/>
          <w:jc w:val="left"/>
        </w:trPr>
        <w:tc>
          <w:tcPr>
            <w:tcW w:w="567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284" w:left="56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3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284" w:left="567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Загальний фонд</w:t>
            </w: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284" w:left="56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99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284" w:left="56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284" w:left="56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70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284" w:left="567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179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1.</w:t>
            </w:r>
          </w:p>
        </w:tc>
        <w:tc>
          <w:tcPr>
            <w:tcW w:w="1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Заробітна плата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928,0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Місцевий бюджет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928,00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Місцевий бюджет</w:t>
            </w:r>
          </w:p>
        </w:tc>
      </w:tr>
      <w:tr>
        <w:trPr>
          <w:trHeight w:val="1179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2.</w:t>
            </w:r>
          </w:p>
        </w:tc>
        <w:tc>
          <w:tcPr>
            <w:tcW w:w="1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Нарахування на оплату праці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204,00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Місцевий бюджет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204,00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Місцевий бюджет</w:t>
            </w:r>
          </w:p>
        </w:tc>
      </w:tr>
      <w:tr>
        <w:trPr>
          <w:trHeight w:val="1179" w:hRule="auto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</w:t>
            </w:r>
          </w:p>
        </w:tc>
        <w:tc>
          <w:tcPr>
            <w:tcW w:w="1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Предмети, матеріали. Обладнання, інвентар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57,00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Місцевий бюджет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-30,00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27,00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Місцевий бюджет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3.</w:t>
            </w:r>
          </w:p>
        </w:tc>
        <w:tc>
          <w:tcPr>
            <w:tcW w:w="1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Оплата послуг (розробка сайту)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801,0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Місцевий бюджет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801,00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Місцевий бюджет</w:t>
            </w:r>
          </w:p>
        </w:tc>
      </w:tr>
      <w:tr>
        <w:trPr>
          <w:trHeight w:val="1" w:hRule="atLeast"/>
          <w:jc w:val="left"/>
        </w:trPr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4.</w:t>
            </w:r>
          </w:p>
        </w:tc>
        <w:tc>
          <w:tcPr>
            <w:tcW w:w="1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Оплата комунальних послуг та енергоносіїв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10,00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Місцевий бюджет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+30,00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40,00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Місцевий бюджет</w:t>
            </w:r>
          </w:p>
        </w:tc>
      </w:tr>
      <w:tr>
        <w:trPr>
          <w:trHeight w:val="1" w:hRule="atLeast"/>
          <w:jc w:val="left"/>
        </w:trPr>
        <w:tc>
          <w:tcPr>
            <w:tcW w:w="229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Всього</w:t>
            </w:r>
          </w:p>
        </w:tc>
        <w:tc>
          <w:tcPr>
            <w:tcW w:w="311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2000,00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0,00</w:t>
            </w:r>
          </w:p>
        </w:tc>
        <w:tc>
          <w:tcPr>
            <w:tcW w:w="3402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righ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0"/>
                <w:shd w:fill="auto" w:val="clear"/>
              </w:rPr>
              <w:t xml:space="preserve">2000,00</w:t>
            </w:r>
          </w:p>
        </w:tc>
      </w:tr>
    </w:tbl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Керуючий  справами виконавчого комітету               Людмила ЛЕНЧИЦЬКА                                                                   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5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