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lineRule="auto" w:line="240" w:after="0" w:beforeAutospacing="0" w:afterAutospacing="0"/>
        <w:ind w:right="-284"/>
        <w:jc w:val="center"/>
        <w:rPr>
          <w:rFonts w:ascii="Times New Roman" w:hAnsi="Times New Roman"/>
          <w:b w:val="1"/>
          <w:sz w:val="28"/>
          <w:szCs w:val="28"/>
        </w:rPr>
      </w:pPr>
      <w:r>
        <w:rPr>
          <w:rFonts w:ascii="Times New Roman" w:hAnsi="Times New Roman"/>
          <w:b w:val="1"/>
          <w:sz w:val="28"/>
          <w:szCs w:val="28"/>
        </w:rPr>
        <w:t>ПОЯСНЮВАЛЬНА ЗАПИСКА</w:t>
      </w:r>
    </w:p>
    <w:p>
      <w:pPr>
        <w:spacing w:lineRule="auto" w:line="240" w:after="0" w:beforeAutospacing="0" w:afterAutospacing="0"/>
        <w:ind w:right="-284"/>
        <w:jc w:val="center"/>
        <w:rPr>
          <w:rFonts w:ascii="Times New Roman" w:hAnsi="Times New Roman"/>
          <w:b w:val="1"/>
          <w:sz w:val="12"/>
          <w:szCs w:val="16"/>
        </w:rPr>
      </w:pPr>
    </w:p>
    <w:p>
      <w:pPr>
        <w:pStyle w:val="P1"/>
        <w:ind w:right="-1"/>
        <w:jc w:val="center"/>
        <w:rPr>
          <w:szCs w:val="28"/>
        </w:rPr>
      </w:pPr>
      <w:r>
        <w:rPr>
          <w:szCs w:val="28"/>
        </w:rPr>
        <w:t>до проекту рішення</w:t>
      </w:r>
    </w:p>
    <w:p>
      <w:pPr>
        <w:pStyle w:val="P1"/>
        <w:ind w:right="-1"/>
        <w:jc w:val="center"/>
        <w:rPr>
          <w:b w:val="1"/>
          <w:sz w:val="16"/>
          <w:szCs w:val="16"/>
        </w:rPr>
      </w:pPr>
    </w:p>
    <w:p>
      <w:pPr>
        <w:widowControl w:val="1"/>
        <w:spacing w:lineRule="auto" w:line="240" w:after="0"/>
        <w:ind w:left="0" w:right="0"/>
        <w:bidi w:val="0"/>
        <w:jc w:val="center"/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bookmarkStart w:id="0" w:name="_Hlk94605805"/>
      <w:r>
        <w:rPr>
          <w:rFonts w:ascii="Times New Roman" w:hAnsi="Times New Roman"/>
          <w:b w:val="1"/>
          <w:sz w:val="28"/>
          <w:szCs w:val="28"/>
        </w:rPr>
        <w:t>«</w:t>
      </w:r>
      <w:bookmarkEnd w:id="0"/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 припинення права користування земельною ділянкою,</w:t>
      </w:r>
    </w:p>
    <w:p>
      <w:pPr>
        <w:widowControl w:val="1"/>
        <w:spacing w:lineRule="auto" w:line="240" w:after="0"/>
        <w:ind w:left="0" w:right="0"/>
        <w:bidi w:val="0"/>
        <w:jc w:val="center"/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FFFFFF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затвердження </w:t>
      </w: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FFFFFF"/>
          <w:vertAlign w:val="baseline"/>
          <w:lang/>
        </w:rPr>
        <w:t>документації із землеустрою, надання земельної</w:t>
      </w:r>
    </w:p>
    <w:p>
      <w:pPr>
        <w:widowControl w:val="1"/>
        <w:spacing w:lineRule="auto" w:line="240" w:after="0"/>
        <w:ind w:left="0" w:right="0"/>
        <w:bidi w:val="0"/>
        <w:jc w:val="center"/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FFFFFF"/>
          <w:vertAlign w:val="baseline"/>
          <w:lang/>
        </w:rPr>
        <w:t xml:space="preserve">ділянки в користування, </w:t>
      </w: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надання дозволу на розроблення</w:t>
      </w:r>
    </w:p>
    <w:p>
      <w:pPr>
        <w:widowControl w:val="1"/>
        <w:spacing w:lineRule="auto" w:line="240" w:after="0"/>
        <w:ind w:left="0" w:right="0"/>
        <w:bidi w:val="0"/>
        <w:jc w:val="center"/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документації із землеустрою, проведення інвентаризації земель,</w:t>
      </w:r>
    </w:p>
    <w:p>
      <w:pPr>
        <w:widowControl w:val="1"/>
        <w:spacing w:lineRule="auto" w:line="240" w:after="0"/>
        <w:ind w:left="0" w:right="0"/>
        <w:bidi w:val="0"/>
        <w:jc w:val="center"/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поділ земельної ділянки, припинення дії договору</w:t>
      </w:r>
    </w:p>
    <w:p>
      <w:pPr>
        <w:spacing w:lineRule="auto" w:line="240" w:after="0"/>
        <w:jc w:val="center"/>
        <w:rPr>
          <w:rFonts w:ascii="Times New Roman" w:hAnsi="Times New Roman"/>
          <w:b w:val="1"/>
          <w:sz w:val="28"/>
          <w:szCs w:val="28"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оренди земельної ділянки</w:t>
      </w:r>
      <w:r>
        <w:rPr>
          <w:rFonts w:ascii="Times New Roman" w:hAnsi="Times New Roman"/>
          <w:b w:val="1"/>
          <w:sz w:val="28"/>
          <w:szCs w:val="28"/>
        </w:rPr>
        <w:t>»</w:t>
      </w:r>
    </w:p>
    <w:p>
      <w:pPr>
        <w:pStyle w:val="P2"/>
        <w:spacing w:lineRule="auto" w:line="240" w:after="0" w:beforeAutospacing="0" w:afterAutospacing="0"/>
        <w:ind w:left="284"/>
        <w:jc w:val="center"/>
        <w:rPr>
          <w:rFonts w:ascii="Times New Roman" w:hAnsi="Times New Roman"/>
          <w:b w:val="1"/>
          <w:bCs w:val="1"/>
          <w:sz w:val="12"/>
          <w:szCs w:val="16"/>
          <w:lang w:val="uk-UA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12"/>
          <w:szCs w:val="27"/>
          <w:lang w:eastAsia="zh-CN"/>
        </w:rPr>
      </w:pPr>
    </w:p>
    <w:p>
      <w:pPr>
        <w:keepNext w:val="1"/>
        <w:numPr>
          <w:ilvl w:val="1"/>
          <w:numId w:val="1"/>
        </w:numPr>
        <w:suppressAutoHyphens w:val="1"/>
        <w:spacing w:lineRule="auto" w:line="240" w:after="0" w:beforeAutospacing="0" w:afterAutospacing="0"/>
        <w:ind w:firstLine="553" w:left="14"/>
        <w:outlineLvl w:val="1"/>
        <w:rPr>
          <w:rFonts w:ascii="Times New Roman" w:hAnsi="Times New Roman"/>
          <w:b w:val="1"/>
          <w:sz w:val="27"/>
          <w:szCs w:val="27"/>
          <w:lang w:eastAsia="zh-CN"/>
        </w:rPr>
      </w:pPr>
      <w:r>
        <w:rPr>
          <w:rFonts w:ascii="Times New Roman" w:hAnsi="Times New Roman"/>
          <w:b w:val="1"/>
          <w:sz w:val="27"/>
          <w:szCs w:val="27"/>
          <w:lang w:eastAsia="zh-CN"/>
        </w:rPr>
        <w:t>1. Обґрунтування необхідності прийняття рішення</w:t>
      </w:r>
    </w:p>
    <w:p>
      <w:pPr>
        <w:keepNext w:val="1"/>
        <w:numPr>
          <w:ilvl w:val="1"/>
          <w:numId w:val="1"/>
        </w:numPr>
        <w:suppressAutoHyphens w:val="1"/>
        <w:spacing w:lineRule="auto" w:line="240" w:after="0" w:beforeAutospacing="0" w:afterAutospacing="0"/>
        <w:ind w:firstLine="553" w:left="14"/>
        <w:jc w:val="both"/>
        <w:outlineLvl w:val="1"/>
        <w:rPr>
          <w:rFonts w:ascii="Times" w:hAnsi="Times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bCs w:val="1"/>
          <w:sz w:val="27"/>
          <w:szCs w:val="27"/>
          <w:lang w:eastAsia="zh-CN"/>
        </w:rPr>
        <w:t>Прийняття</w:t>
      </w:r>
      <w:r>
        <w:rPr>
          <w:rFonts w:ascii="Times New Roman" w:hAnsi="Times New Roman"/>
          <w:sz w:val="27"/>
          <w:szCs w:val="27"/>
        </w:rPr>
        <w:t xml:space="preserve"> рішення обґрунтовується необхідністю розгляду, виключно на пленарних засіданнях сесії, </w:t>
      </w:r>
      <w:r>
        <w:rPr>
          <w:rFonts w:ascii="Times New Roman" w:hAnsi="Times New Roman"/>
          <w:sz w:val="27"/>
          <w:szCs w:val="27"/>
          <w:shd w:val="clear" w:color="auto" w:fill="FFFFFF"/>
        </w:rPr>
        <w:t>питань регулювання земельних відносин</w:t>
      </w:r>
      <w:r>
        <w:rPr>
          <w:rFonts w:ascii="Times New Roman" w:hAnsi="Times New Roman"/>
          <w:sz w:val="27"/>
          <w:szCs w:val="27"/>
        </w:rPr>
        <w:t>.</w:t>
      </w:r>
    </w:p>
    <w:p>
      <w:pPr>
        <w:keepNext w:val="1"/>
        <w:numPr>
          <w:ilvl w:val="1"/>
          <w:numId w:val="1"/>
        </w:numPr>
        <w:suppressAutoHyphens w:val="1"/>
        <w:spacing w:lineRule="auto" w:line="240" w:after="0" w:beforeAutospacing="0" w:afterAutospacing="0"/>
        <w:ind w:firstLine="553" w:left="14"/>
        <w:outlineLvl w:val="1"/>
        <w:rPr>
          <w:rFonts w:ascii="Times New Roman" w:hAnsi="Times New Roman"/>
          <w:b w:val="1"/>
          <w:color w:val="000000"/>
          <w:sz w:val="27"/>
          <w:szCs w:val="27"/>
          <w:lang w:eastAsia="zh-CN"/>
        </w:rPr>
      </w:pPr>
      <w:r>
        <w:rPr>
          <w:rFonts w:ascii="Times New Roman" w:hAnsi="Times New Roman"/>
          <w:b w:val="1"/>
          <w:color w:val="000000"/>
          <w:sz w:val="27"/>
          <w:szCs w:val="27"/>
          <w:lang w:eastAsia="zh-CN"/>
        </w:rPr>
        <w:t>2.</w:t>
      </w:r>
      <w:r>
        <w:rPr>
          <w:rFonts w:ascii="Times New Roman" w:hAnsi="Times New Roman"/>
          <w:b w:val="1"/>
          <w:sz w:val="27"/>
          <w:szCs w:val="27"/>
          <w:lang w:eastAsia="zh-CN"/>
        </w:rPr>
        <w:t>Мета</w:t>
      </w:r>
      <w:r>
        <w:rPr>
          <w:rFonts w:ascii="Times New Roman" w:hAnsi="Times New Roman"/>
          <w:b w:val="1"/>
          <w:color w:val="000000"/>
          <w:sz w:val="27"/>
          <w:szCs w:val="27"/>
          <w:lang w:eastAsia="zh-CN"/>
        </w:rPr>
        <w:t xml:space="preserve"> і шляхи її досягнення</w:t>
      </w:r>
    </w:p>
    <w:p>
      <w:pPr>
        <w:keepNext w:val="1"/>
        <w:numPr>
          <w:ilvl w:val="1"/>
          <w:numId w:val="1"/>
        </w:numPr>
        <w:suppressAutoHyphens w:val="1"/>
        <w:spacing w:lineRule="auto" w:line="240" w:after="0" w:beforeAutospacing="0" w:afterAutospacing="0"/>
        <w:ind w:firstLine="553" w:left="14"/>
        <w:jc w:val="both"/>
        <w:outlineLvl w:val="1"/>
        <w:rPr>
          <w:rFonts w:ascii="Times New Roman" w:hAnsi="Times New Roman"/>
          <w:i w:val="1"/>
          <w:color w:val="000000"/>
          <w:sz w:val="27"/>
          <w:szCs w:val="27"/>
          <w:lang w:eastAsia="zh-CN"/>
        </w:rPr>
      </w:pPr>
      <w:r>
        <w:rPr>
          <w:rFonts w:ascii="Times New Roman" w:hAnsi="Times New Roman"/>
          <w:bCs w:val="1"/>
          <w:sz w:val="27"/>
          <w:szCs w:val="27"/>
          <w:lang w:eastAsia="zh-CN"/>
        </w:rPr>
        <w:t xml:space="preserve">Розгляд </w:t>
      </w:r>
      <w:r>
        <w:rPr>
          <w:rFonts w:ascii="Times New Roman" w:hAnsi="Times New Roman"/>
          <w:sz w:val="27"/>
          <w:szCs w:val="27"/>
        </w:rPr>
        <w:t xml:space="preserve">звернень юридичних та фізичних осіб з питань земельних відносин шляхом прийняття рішення відповідно до вимог чинного законодавства, враховуючи депутатський запит депутата Броварської міської ради </w:t>
      </w:r>
      <w:r>
        <w:rPr>
          <w:rFonts w:ascii="Times New Roman" w:hAnsi="Times New Roman"/>
          <w:sz w:val="27"/>
          <w:szCs w:val="27"/>
          <w:lang w:val="en-US"/>
        </w:rPr>
        <w:t>VIII</w:t>
      </w:r>
      <w:r>
        <w:rPr>
          <w:rFonts w:ascii="Times New Roman" w:hAnsi="Times New Roman"/>
          <w:sz w:val="27"/>
          <w:szCs w:val="27"/>
        </w:rPr>
        <w:t xml:space="preserve"> скликання Богдани ДРАЧ, підтриманий депутатами на сорок шостій позачерговій сесії Броварської міської ради Броварського району Київської області.</w:t>
      </w:r>
    </w:p>
    <w:p>
      <w:pPr>
        <w:keepNext w:val="1"/>
        <w:numPr>
          <w:ilvl w:val="1"/>
          <w:numId w:val="1"/>
        </w:numPr>
        <w:suppressAutoHyphens w:val="1"/>
        <w:spacing w:lineRule="auto" w:line="240" w:after="0" w:beforeAutospacing="0" w:afterAutospacing="0"/>
        <w:ind w:firstLine="553" w:left="14"/>
        <w:outlineLvl w:val="1"/>
        <w:rPr>
          <w:rFonts w:ascii="Times New Roman" w:hAnsi="Times New Roman"/>
          <w:b w:val="1"/>
          <w:color w:val="000000"/>
          <w:sz w:val="27"/>
          <w:szCs w:val="27"/>
          <w:lang w:eastAsia="zh-CN"/>
        </w:rPr>
      </w:pPr>
      <w:r>
        <w:rPr>
          <w:rFonts w:ascii="Times New Roman" w:hAnsi="Times New Roman"/>
          <w:b w:val="1"/>
          <w:color w:val="000000"/>
          <w:sz w:val="27"/>
          <w:szCs w:val="27"/>
          <w:lang w:eastAsia="zh-CN"/>
        </w:rPr>
        <w:t>3.</w:t>
      </w:r>
      <w:r>
        <w:rPr>
          <w:rFonts w:ascii="Times New Roman" w:hAnsi="Times New Roman"/>
          <w:b w:val="1"/>
          <w:sz w:val="27"/>
          <w:szCs w:val="27"/>
          <w:lang w:eastAsia="zh-CN"/>
        </w:rPr>
        <w:t>Правові</w:t>
      </w:r>
      <w:r>
        <w:rPr>
          <w:rFonts w:ascii="Times New Roman" w:hAnsi="Times New Roman"/>
          <w:b w:val="1"/>
          <w:color w:val="000000"/>
          <w:sz w:val="27"/>
          <w:szCs w:val="27"/>
          <w:lang w:eastAsia="zh-CN"/>
        </w:rPr>
        <w:t xml:space="preserve"> аспекти</w:t>
      </w:r>
    </w:p>
    <w:p>
      <w:pPr>
        <w:keepNext w:val="1"/>
        <w:numPr>
          <w:ilvl w:val="1"/>
          <w:numId w:val="1"/>
        </w:numPr>
        <w:suppressAutoHyphens w:val="1"/>
        <w:spacing w:lineRule="auto" w:line="240" w:after="0" w:beforeAutospacing="0" w:afterAutospacing="0"/>
        <w:ind w:firstLine="553" w:left="14"/>
        <w:jc w:val="both"/>
        <w:outlineLvl w:val="1"/>
        <w:rPr>
          <w:rFonts w:ascii="Times New Roman" w:hAnsi="Times New Roman"/>
          <w:b w:val="1"/>
          <w:color w:val="000000"/>
          <w:sz w:val="27"/>
          <w:szCs w:val="27"/>
          <w:lang w:eastAsia="zh-CN"/>
        </w:rPr>
      </w:pPr>
      <w:r>
        <w:rPr>
          <w:rFonts w:ascii="Times New Roman" w:hAnsi="Times New Roman"/>
          <w:bCs w:val="1"/>
          <w:sz w:val="27"/>
          <w:szCs w:val="27"/>
          <w:lang w:eastAsia="zh-CN"/>
        </w:rPr>
        <w:t xml:space="preserve">Проект </w:t>
      </w:r>
      <w:r>
        <w:rPr>
          <w:rFonts w:ascii="Times New Roman" w:hAnsi="Times New Roman"/>
          <w:sz w:val="27"/>
          <w:szCs w:val="27"/>
        </w:rPr>
        <w:t>рішення підготовлений відповідно до статей 12,79-1,</w:t>
      </w:r>
      <w:r>
        <w:rPr>
          <w:rFonts w:ascii="Times New Roman" w:hAnsi="Times New Roman"/>
          <w:smallCaps w:val="0"/>
          <w:sz w:val="27"/>
          <w:szCs w:val="22"/>
          <w:cs w:val="0"/>
          <w:spacing w:val="0"/>
          <w:w w:val="100"/>
          <w:position w:val="0"/>
          <w:snapToGrid w:val="1"/>
        </w:rPr>
        <w:t xml:space="preserve"> </w:t>
      </w:r>
      <w:r>
        <w:rPr>
          <w:rFonts w:ascii="Times New Roman" w:hAnsi="Times New Roman"/>
          <w:smallCaps w:val="0"/>
          <w:sz w:val="27"/>
          <w:szCs w:val="22"/>
          <w:cs w:val="0"/>
          <w:spacing w:val="0"/>
          <w:w w:val="100"/>
          <w:position w:val="0"/>
          <w:snapToGrid w:val="1"/>
        </w:rPr>
        <w:t>92,</w:t>
      </w:r>
      <w:r>
        <w:rPr>
          <w:rFonts w:ascii="Times New Roman" w:hAnsi="Times New Roman"/>
          <w:sz w:val="27"/>
          <w:szCs w:val="27"/>
        </w:rPr>
        <w:t>123,134,141</w:t>
      </w:r>
      <w:r>
        <w:rPr>
          <w:rFonts w:ascii="Times New Roman" w:hAnsi="Times New Roman"/>
          <w:smallCaps w:val="0"/>
          <w:sz w:val="27"/>
          <w:szCs w:val="22"/>
          <w:cs w:val="0"/>
          <w:spacing w:val="0"/>
          <w:w w:val="100"/>
          <w:position w:val="0"/>
          <w:snapToGrid w:val="1"/>
        </w:rPr>
        <w:t>,186</w:t>
      </w:r>
      <w:r>
        <w:rPr>
          <w:rFonts w:ascii="Times New Roman" w:hAnsi="Times New Roman"/>
          <w:sz w:val="27"/>
          <w:szCs w:val="27"/>
        </w:rPr>
        <w:t xml:space="preserve"> Земельного кодексу України, статей 6,19,25,50,55,56 Закону України «Про землеустрій», </w:t>
      </w:r>
      <w:r>
        <w:rPr>
          <w:rFonts w:ascii="Times New Roman" w:hAnsi="Times New Roman"/>
          <w:bCs w:val="1"/>
          <w:sz w:val="27"/>
          <w:szCs w:val="27"/>
          <w:shd w:val="clear" w:color="auto" w:fill="FFFFFF"/>
        </w:rPr>
        <w:t xml:space="preserve">статей 16,21 </w:t>
      </w:r>
      <w:r>
        <w:rPr>
          <w:rFonts w:ascii="Times New Roman" w:hAnsi="Times New Roman"/>
          <w:sz w:val="27"/>
          <w:szCs w:val="27"/>
        </w:rPr>
        <w:t xml:space="preserve">Закону України «Про </w:t>
      </w:r>
      <w:r>
        <w:rPr>
          <w:rFonts w:ascii="Times New Roman" w:hAnsi="Times New Roman"/>
          <w:bCs w:val="1"/>
          <w:sz w:val="27"/>
          <w:szCs w:val="27"/>
          <w:shd w:val="clear" w:color="auto" w:fill="FFFFFF"/>
        </w:rPr>
        <w:t>Державний земельний кадастр</w:t>
      </w:r>
      <w:r>
        <w:rPr>
          <w:rFonts w:ascii="Times New Roman" w:hAnsi="Times New Roman"/>
          <w:sz w:val="27"/>
          <w:szCs w:val="27"/>
        </w:rPr>
        <w:t>», статті 4 Закону України «Про оренду землі», пункту 34 частини 1 статті 26, пункту 16 частини 4 статті 42 Закону України «Про місцеве самоврядування в Україні»</w:t>
      </w:r>
      <w:r>
        <w:rPr>
          <w:rFonts w:ascii="Haettenschweiler" w:hAnsi="Haettenschweiler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sz w:val="27"/>
          <w:szCs w:val="27"/>
        </w:rPr>
        <w:t>п</w:t>
      </w:r>
      <w:r>
        <w:rPr>
          <w:rFonts w:ascii="Times New Roman" w:hAnsi="Times New Roman"/>
          <w:sz w:val="27"/>
          <w:szCs w:val="27"/>
          <w:lang/>
        </w:rPr>
        <w:t>останов</w:t>
      </w:r>
      <w:r>
        <w:rPr>
          <w:rFonts w:ascii="Times New Roman" w:hAnsi="Times New Roman"/>
          <w:sz w:val="27"/>
          <w:szCs w:val="27"/>
        </w:rPr>
        <w:t>ою</w:t>
      </w:r>
      <w:r>
        <w:rPr>
          <w:rFonts w:ascii="Times New Roman" w:hAnsi="Times New Roman"/>
          <w:sz w:val="27"/>
          <w:szCs w:val="27"/>
          <w:lang/>
        </w:rPr>
        <w:t xml:space="preserve"> Кабінету Міністрів України «</w:t>
      </w:r>
      <w:r>
        <w:rPr>
          <w:rFonts w:ascii="Times New Roman" w:hAnsi="Times New Roman"/>
          <w:bCs w:val="1"/>
          <w:sz w:val="27"/>
          <w:szCs w:val="27"/>
          <w:lang/>
        </w:rPr>
        <w:t>Про затвердження Порядку проведення інвентаризації земель та визнання такими, що втратили чинність, деяких постанов Кабінету Міністрів України</w:t>
      </w:r>
      <w:r>
        <w:rPr>
          <w:rFonts w:ascii="Times New Roman" w:hAnsi="Times New Roman"/>
          <w:sz w:val="27"/>
          <w:szCs w:val="27"/>
          <w:lang/>
        </w:rPr>
        <w:t>» від 05.06.2019 року № 476</w:t>
      </w:r>
      <w:r>
        <w:rPr>
          <w:rFonts w:ascii="Times New Roman" w:hAnsi="Times New Roman"/>
          <w:sz w:val="27"/>
          <w:szCs w:val="27"/>
        </w:rPr>
        <w:t>.</w:t>
      </w:r>
    </w:p>
    <w:p>
      <w:pPr>
        <w:keepNext w:val="1"/>
        <w:numPr>
          <w:ilvl w:val="1"/>
          <w:numId w:val="1"/>
        </w:numPr>
        <w:suppressAutoHyphens w:val="1"/>
        <w:spacing w:lineRule="auto" w:line="240" w:after="0" w:beforeAutospacing="0" w:afterAutospacing="0"/>
        <w:ind w:firstLine="553" w:left="14"/>
        <w:outlineLvl w:val="1"/>
        <w:rPr>
          <w:rFonts w:ascii="Times New Roman" w:hAnsi="Times New Roman"/>
          <w:b w:val="1"/>
          <w:color w:val="000000"/>
          <w:sz w:val="27"/>
          <w:szCs w:val="27"/>
          <w:lang w:eastAsia="zh-CN"/>
        </w:rPr>
      </w:pPr>
      <w:r>
        <w:rPr>
          <w:rFonts w:ascii="Times New Roman" w:hAnsi="Times New Roman"/>
          <w:b w:val="1"/>
          <w:color w:val="000000"/>
          <w:sz w:val="27"/>
          <w:szCs w:val="27"/>
          <w:lang w:eastAsia="zh-CN"/>
        </w:rPr>
        <w:t xml:space="preserve">4. </w:t>
      </w:r>
      <w:r>
        <w:rPr>
          <w:rFonts w:ascii="Times New Roman" w:hAnsi="Times New Roman"/>
          <w:b w:val="1"/>
          <w:sz w:val="27"/>
          <w:szCs w:val="27"/>
          <w:lang w:eastAsia="zh-CN"/>
        </w:rPr>
        <w:t>Фінансово</w:t>
      </w:r>
      <w:r>
        <w:rPr>
          <w:rFonts w:ascii="Times New Roman" w:hAnsi="Times New Roman"/>
          <w:b w:val="1"/>
          <w:color w:val="000000"/>
          <w:sz w:val="27"/>
          <w:szCs w:val="27"/>
          <w:lang w:eastAsia="zh-CN"/>
        </w:rPr>
        <w:t>-економічне обґрунтування</w:t>
      </w:r>
    </w:p>
    <w:p>
      <w:pPr>
        <w:suppressAutoHyphens w:val="1"/>
        <w:spacing w:lineRule="auto" w:line="240" w:after="0" w:beforeAutospacing="0" w:afterAutospacing="0"/>
        <w:ind w:left="567"/>
        <w:jc w:val="both"/>
        <w:rPr>
          <w:rFonts w:ascii="Times New Roman" w:hAnsi="Times New Roman"/>
          <w:sz w:val="27"/>
          <w:szCs w:val="27"/>
          <w:lang w:eastAsia="zh-CN"/>
        </w:rPr>
      </w:pPr>
      <w:r>
        <w:rPr>
          <w:rFonts w:ascii="Times New Roman" w:hAnsi="Times New Roman"/>
          <w:sz w:val="27"/>
          <w:szCs w:val="27"/>
          <w:lang w:eastAsia="zh-CN"/>
        </w:rPr>
        <w:t>Прийняття даного рішення виділення коштів не потребує.</w:t>
      </w:r>
    </w:p>
    <w:p>
      <w:pPr>
        <w:keepNext w:val="1"/>
        <w:numPr>
          <w:ilvl w:val="1"/>
          <w:numId w:val="1"/>
        </w:numPr>
        <w:suppressAutoHyphens w:val="1"/>
        <w:spacing w:lineRule="auto" w:line="240" w:after="0" w:beforeAutospacing="0" w:afterAutospacing="0"/>
        <w:ind w:firstLine="553" w:left="14"/>
        <w:outlineLvl w:val="1"/>
        <w:rPr>
          <w:rFonts w:ascii="Times New Roman" w:hAnsi="Times New Roman"/>
          <w:b w:val="1"/>
          <w:color w:val="000000"/>
          <w:sz w:val="27"/>
          <w:szCs w:val="27"/>
          <w:lang w:eastAsia="zh-CN"/>
        </w:rPr>
      </w:pPr>
      <w:r>
        <w:rPr>
          <w:rFonts w:ascii="Times New Roman" w:hAnsi="Times New Roman"/>
          <w:b w:val="1"/>
          <w:color w:val="000000"/>
          <w:sz w:val="27"/>
          <w:szCs w:val="27"/>
          <w:lang w:eastAsia="zh-CN"/>
        </w:rPr>
        <w:t xml:space="preserve">5. </w:t>
      </w:r>
      <w:r>
        <w:rPr>
          <w:rFonts w:ascii="Times New Roman" w:hAnsi="Times New Roman"/>
          <w:b w:val="1"/>
          <w:sz w:val="27"/>
          <w:szCs w:val="27"/>
          <w:lang w:eastAsia="zh-CN"/>
        </w:rPr>
        <w:t>Прогноз</w:t>
      </w:r>
      <w:r>
        <w:rPr>
          <w:rFonts w:ascii="Times New Roman" w:hAnsi="Times New Roman"/>
          <w:b w:val="1"/>
          <w:color w:val="000000"/>
          <w:sz w:val="27"/>
          <w:szCs w:val="27"/>
          <w:lang w:eastAsia="zh-CN"/>
        </w:rPr>
        <w:t xml:space="preserve"> результатів</w:t>
      </w:r>
    </w:p>
    <w:p>
      <w:pPr>
        <w:keepNext w:val="1"/>
        <w:numPr>
          <w:ilvl w:val="1"/>
          <w:numId w:val="1"/>
        </w:numPr>
        <w:suppressAutoHyphens w:val="1"/>
        <w:spacing w:lineRule="auto" w:line="240" w:after="0" w:beforeAutospacing="0" w:afterAutospacing="0"/>
        <w:ind w:firstLine="553" w:left="14"/>
        <w:jc w:val="both"/>
        <w:outlineLvl w:val="1"/>
        <w:rPr>
          <w:rFonts w:ascii="Times New Roman" w:hAnsi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7"/>
          <w:szCs w:val="27"/>
          <w:lang w:eastAsia="zh-CN"/>
        </w:rPr>
        <w:t xml:space="preserve">При прийнятті відповідного рішення, суб’єкти звернення, </w:t>
      </w: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отримають результат </w:t>
      </w:r>
      <w:r>
        <w:rPr>
          <w:rFonts w:ascii="Times New Roman" w:hAnsi="Times New Roman"/>
          <w:bCs w:val="1"/>
          <w:sz w:val="27"/>
          <w:szCs w:val="27"/>
          <w:lang w:eastAsia="zh-CN"/>
        </w:rPr>
        <w:t>розгляду</w:t>
      </w: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 клопотань та набудуть підстави для оформлення прав на земельні ділянки, проведення державної реєстрації прав та розроблення відповідної документації із землеустрою для подальшого оформлення прав на земельні ділянки.</w:t>
      </w:r>
    </w:p>
    <w:p>
      <w:pPr>
        <w:keepNext w:val="1"/>
        <w:numPr>
          <w:ilvl w:val="1"/>
          <w:numId w:val="1"/>
        </w:numPr>
        <w:suppressAutoHyphens w:val="1"/>
        <w:spacing w:lineRule="auto" w:line="240" w:after="0" w:beforeAutospacing="0" w:afterAutospacing="0"/>
        <w:ind w:firstLine="553" w:left="14"/>
        <w:outlineLvl w:val="1"/>
        <w:rPr>
          <w:rFonts w:ascii="Times New Roman" w:hAnsi="Times New Roman"/>
          <w:b w:val="1"/>
          <w:sz w:val="27"/>
          <w:szCs w:val="27"/>
          <w:lang w:eastAsia="zh-CN"/>
        </w:rPr>
      </w:pPr>
      <w:r>
        <w:rPr>
          <w:rFonts w:ascii="Times New Roman" w:hAnsi="Times New Roman"/>
          <w:b w:val="1"/>
          <w:sz w:val="27"/>
          <w:szCs w:val="27"/>
          <w:lang w:eastAsia="zh-CN"/>
        </w:rPr>
        <w:t xml:space="preserve">6. Суб’єкт подання проекту рішення </w:t>
      </w:r>
    </w:p>
    <w:p>
      <w:pPr>
        <w:suppressAutoHyphens w:val="1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7"/>
          <w:szCs w:val="27"/>
          <w:lang w:eastAsia="zh-CN"/>
        </w:rPr>
        <w:t>Управління</w:t>
      </w: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>
      <w:pPr>
        <w:suppressAutoHyphens w:val="1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7"/>
          <w:szCs w:val="27"/>
          <w:lang w:eastAsia="zh-CN"/>
        </w:rPr>
      </w:pPr>
      <w:r>
        <w:rPr>
          <w:rFonts w:ascii="Times New Roman" w:hAnsi="Times New Roman"/>
          <w:sz w:val="27"/>
          <w:szCs w:val="27"/>
          <w:lang w:eastAsia="zh-CN"/>
        </w:rPr>
        <w:t>Доповідач проекту рішення на пленарному засіданні – виконуюча обов’язки начальника управління земельних ресурсів – заступник начальника управління Майборода С.А.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12"/>
          <w:szCs w:val="28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Виконуюча обов’язки начальника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управління земельних ресурсів – </w:t>
      </w:r>
    </w:p>
    <w:p>
      <w:r>
        <w:rPr>
          <w:rFonts w:ascii="Times New Roman" w:hAnsi="Times New Roman"/>
          <w:sz w:val="28"/>
          <w:szCs w:val="28"/>
        </w:rPr>
        <w:t xml:space="preserve">заступник начальника                                       </w:t>
        <w:tab/>
        <w:tab/>
        <w:t xml:space="preserve">Світлана МАЙБОРОДА        </w:t>
      </w:r>
    </w:p>
    <w:sectPr>
      <w:type w:val="nextPage"/>
      <w:pgSz w:w="11906" w:h="16838" w:code="0"/>
      <w:pgMar w:left="1417" w:right="850" w:top="568" w:bottom="85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none"/>
      <w:suff w:val="nothing"/>
      <w:lvlText w:val=""/>
      <w:lvlJc w:val="left"/>
      <w:pPr>
        <w:ind w:hanging="432" w:left="432"/>
        <w:tabs>
          <w:tab w:val="num" w:pos="432" w:leader="none"/>
        </w:tabs>
      </w:pPr>
      <w:rPr/>
    </w:lvl>
    <w:lvl w:ilvl="1">
      <w:start w:val="1"/>
      <w:numFmt w:val="none"/>
      <w:suff w:val="nothing"/>
      <w:lvlText w:val=""/>
      <w:lvlJc w:val="left"/>
      <w:pPr>
        <w:ind w:hanging="576" w:left="576"/>
        <w:tabs>
          <w:tab w:val="num" w:pos="576" w:leader="none"/>
        </w:tabs>
      </w:pPr>
      <w:rPr/>
    </w:lvl>
    <w:lvl w:ilvl="2">
      <w:start w:val="1"/>
      <w:numFmt w:val="none"/>
      <w:suff w:val="nothing"/>
      <w:lvlText w:val=""/>
      <w:lvlJc w:val="left"/>
      <w:pPr>
        <w:ind w:hanging="720" w:left="720"/>
        <w:tabs>
          <w:tab w:val="num" w:pos="720" w:leader="none"/>
        </w:tabs>
      </w:pPr>
      <w:rPr/>
    </w:lvl>
    <w:lvl w:ilvl="3">
      <w:start w:val="1"/>
      <w:numFmt w:val="none"/>
      <w:suff w:val="nothing"/>
      <w:lvlText w:val=""/>
      <w:lvlJc w:val="left"/>
      <w:pPr>
        <w:ind w:hanging="864" w:left="864"/>
        <w:tabs>
          <w:tab w:val="num" w:pos="864" w:leader="none"/>
        </w:tabs>
      </w:pPr>
      <w:rPr/>
    </w:lvl>
    <w:lvl w:ilvl="4">
      <w:start w:val="1"/>
      <w:numFmt w:val="none"/>
      <w:suff w:val="nothing"/>
      <w:lvlText w:val=""/>
      <w:lvlJc w:val="left"/>
      <w:pPr>
        <w:ind w:hanging="1008" w:left="1008"/>
        <w:tabs>
          <w:tab w:val="num" w:pos="1008" w:leader="none"/>
        </w:tabs>
      </w:pPr>
      <w:rPr/>
    </w:lvl>
    <w:lvl w:ilvl="5">
      <w:start w:val="1"/>
      <w:numFmt w:val="none"/>
      <w:suff w:val="nothing"/>
      <w:lvlText w:val=""/>
      <w:lvlJc w:val="left"/>
      <w:pPr>
        <w:ind w:hanging="1152" w:left="1152"/>
        <w:tabs>
          <w:tab w:val="num" w:pos="1152" w:leader="none"/>
        </w:tabs>
      </w:pPr>
      <w:rPr/>
    </w:lvl>
    <w:lvl w:ilvl="6">
      <w:start w:val="1"/>
      <w:numFmt w:val="none"/>
      <w:suff w:val="nothing"/>
      <w:lvlText w:val=""/>
      <w:lvlJc w:val="left"/>
      <w:pPr>
        <w:ind w:hanging="1296" w:left="1296"/>
        <w:tabs>
          <w:tab w:val="num" w:pos="1296" w:leader="none"/>
        </w:tabs>
      </w:pPr>
      <w:rPr/>
    </w:lvl>
    <w:lvl w:ilvl="7">
      <w:start w:val="1"/>
      <w:numFmt w:val="none"/>
      <w:suff w:val="nothing"/>
      <w:lvlText w:val=""/>
      <w:lvlJc w:val="left"/>
      <w:pPr>
        <w:ind w:hanging="1440" w:left="1440"/>
        <w:tabs>
          <w:tab w:val="num" w:pos="1440" w:leader="none"/>
        </w:tabs>
      </w:pPr>
      <w:rPr/>
    </w:lvl>
    <w:lvl w:ilvl="8">
      <w:start w:val="1"/>
      <w:numFmt w:val="none"/>
      <w:suff w:val="nothing"/>
      <w:lvlText w:val=""/>
      <w:lvlJc w:val="left"/>
      <w:pPr>
        <w:ind w:hanging="1584" w:left="1584"/>
        <w:tabs>
          <w:tab w:val="num" w:pos="1584" w:leader="none"/>
        </w:tabs>
      </w:pPr>
      <w:r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uk-UA" w:bidi="ar-SA" w:eastAsia="uk-UA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Body Text"/>
    <w:basedOn w:val="P0"/>
    <w:link w:val="C3"/>
    <w:pPr>
      <w:spacing w:lineRule="auto" w:line="240" w:after="0" w:beforeAutospacing="0" w:afterAutospacing="0"/>
    </w:pPr>
    <w:rPr>
      <w:rFonts w:ascii="Times New Roman" w:hAnsi="Times New Roman"/>
      <w:sz w:val="28"/>
      <w:szCs w:val="24"/>
      <w:lang w:eastAsia="en-US"/>
    </w:rPr>
  </w:style>
  <w:style w:type="paragraph" w:styleId="P2">
    <w:name w:val="Body Text Indent 2"/>
    <w:basedOn w:val="P0"/>
    <w:link w:val="C4"/>
    <w:pPr>
      <w:spacing w:lineRule="auto" w:line="480" w:after="120" w:beforeAutospacing="0" w:afterAutospacing="0"/>
      <w:ind w:left="283"/>
    </w:pPr>
    <w:rPr>
      <w:lang w:val="ru-RU" w:eastAsia="ru-RU"/>
    </w:rPr>
  </w:style>
  <w:style w:type="paragraph" w:styleId="P3">
    <w:name w:val="Body Text Indent"/>
    <w:basedOn w:val="P0"/>
    <w:link w:val="C5"/>
    <w:semiHidden/>
    <w:pPr>
      <w:spacing w:after="120" w:beforeAutospacing="0" w:afterAutospacing="0"/>
      <w:ind w:left="283"/>
    </w:pPr>
    <w:rPr>
      <w:lang w:val="ru-RU" w:eastAsia="ru-RU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Основной текст Знак"/>
    <w:basedOn w:val="C0"/>
    <w:link w:val="P1"/>
    <w:rPr>
      <w:rFonts w:ascii="Times New Roman" w:hAnsi="Times New Roman"/>
      <w:sz w:val="28"/>
      <w:szCs w:val="24"/>
      <w:lang w:eastAsia="en-US"/>
    </w:rPr>
  </w:style>
  <w:style w:type="character" w:styleId="C4">
    <w:name w:val="Основной текст с отступом 2 Знак"/>
    <w:basedOn w:val="C0"/>
    <w:link w:val="P2"/>
    <w:rPr>
      <w:lang w:val="ru-RU" w:eastAsia="ru-RU"/>
    </w:rPr>
  </w:style>
  <w:style w:type="character" w:styleId="C5">
    <w:name w:val="Основной текст с отступом Знак"/>
    <w:basedOn w:val="C0"/>
    <w:link w:val="P3"/>
    <w:semiHidden/>
    <w:rPr>
      <w:lang w:val="ru-RU" w:eastAsia="ru-RU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rPr>
      <w:lang w:val="ru-RU" w:eastAsia="ru-RU"/>
    </w:rPr>
    <w:tblPr>
      <w:tblBorders>
        <w:top w:val="single" w:sz="4" w:space="0" w:shadow="0" w:frame="0" w:color="000000" w:themeColor="text1"/>
        <w:left w:val="single" w:sz="4" w:space="0" w:shadow="0" w:frame="0" w:color="000000" w:themeColor="text1"/>
        <w:bottom w:val="single" w:sz="4" w:space="0" w:shadow="0" w:frame="0" w:color="000000" w:themeColor="text1"/>
        <w:right w:val="single" w:sz="4" w:space="0" w:shadow="0" w:frame="0" w:color="000000" w:themeColor="text1"/>
        <w:insideH w:val="single" w:sz="4" w:space="0" w:shadow="0" w:frame="0" w:color="000000" w:themeColor="text1"/>
        <w:insideV w:val="single" w:sz="4" w:space="0" w:shadow="0" w:frame="0" w:color="000000" w:themeColor="text1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2023-05-04T07:55:00Z</dcterms:created>
  <cp:lastModifiedBy>ASKOD</cp:lastModifiedBy>
  <dcterms:modified xsi:type="dcterms:W3CDTF">2023-07-12T14:09:06Z</dcterms:modified>
  <cp:revision>14</cp:revision>
</cp:coreProperties>
</file>