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Pr="006F104E" w:rsidRDefault="006F104E" w:rsidP="006F104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6F104E" w:rsidRDefault="006F104E" w:rsidP="006F104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</w:p>
    <w:p w:rsidR="006F104E" w:rsidRDefault="006F104E" w:rsidP="006F104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6F104E" w:rsidRDefault="006F104E" w:rsidP="006F104E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6F104E" w:rsidRDefault="006F104E" w:rsidP="006F104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F104E" w:rsidRDefault="006F104E" w:rsidP="006F104E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6F104E" w:rsidRDefault="006F104E" w:rsidP="006F10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6F104E" w:rsidRPr="00575C98" w:rsidRDefault="006F104E" w:rsidP="006F104E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Листи </w:t>
      </w:r>
      <w:r>
        <w:rPr>
          <w:rFonts w:ascii="Times New Roman" w:hAnsi="Times New Roman"/>
          <w:sz w:val="28"/>
          <w:szCs w:val="28"/>
          <w:lang w:val="uk-UA" w:eastAsia="ru-RU"/>
        </w:rPr>
        <w:t>Броварського міського територіального центру соціального обслуговування Броварського району Київської області Броварської міської ради Броварського району Київської області від 25.05.2023                                № 5395/14.5/В,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виконавчого комітету Броварської міської ради Броварського району Київської області від 26.05.2023 № 5475/1.4.2/В про передачу на баланс Броварського міського територіального центру соціального обслуговування Броварського району Київської області Броварської міської ради Броварського району Київської області, </w:t>
      </w:r>
      <w:r w:rsidRPr="00575C98">
        <w:rPr>
          <w:rFonts w:ascii="Times New Roman" w:eastAsia="Times New Roman" w:hAnsi="Times New Roman"/>
          <w:sz w:val="28"/>
          <w:szCs w:val="28"/>
          <w:lang w:val="uk-UA" w:eastAsia="ru-RU"/>
        </w:rPr>
        <w:t>для забезпечення зручності та комфорту під час перебування людей похилого віку у приміщені територіального центру.</w:t>
      </w:r>
    </w:p>
    <w:p w:rsidR="006F104E" w:rsidRDefault="006F104E" w:rsidP="006F10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F104E" w:rsidRDefault="006F104E" w:rsidP="006F104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6F104E" w:rsidRPr="00315C54" w:rsidRDefault="006F104E" w:rsidP="006F104E">
      <w:pPr>
        <w:spacing w:after="0" w:line="240" w:lineRule="auto"/>
        <w:ind w:firstLine="567"/>
        <w:jc w:val="both"/>
        <w:rPr>
          <w:bCs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6F104E" w:rsidRPr="00575C98" w:rsidRDefault="006F104E" w:rsidP="006F104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Оприбуткування м</w:t>
      </w:r>
      <w:r w:rsidRPr="00575C98">
        <w:rPr>
          <w:rFonts w:ascii="Times New Roman" w:eastAsia="Times New Roman" w:hAnsi="Times New Roman"/>
          <w:sz w:val="28"/>
          <w:szCs w:val="28"/>
          <w:lang w:val="uk-UA"/>
        </w:rPr>
        <w:t>`</w:t>
      </w:r>
      <w:r>
        <w:rPr>
          <w:rFonts w:ascii="Times New Roman" w:eastAsia="Times New Roman" w:hAnsi="Times New Roman"/>
          <w:sz w:val="28"/>
          <w:szCs w:val="28"/>
          <w:lang w:val="uk-UA"/>
        </w:rPr>
        <w:t>якого куточка на баланс та впорядкування бухгалтерського обліку установ</w:t>
      </w:r>
      <w:r w:rsidRPr="00575C98">
        <w:rPr>
          <w:rFonts w:ascii="Times New Roman" w:eastAsia="Times New Roman" w:hAnsi="Times New Roman"/>
          <w:sz w:val="28"/>
          <w:szCs w:val="28"/>
          <w:lang w:val="uk-UA"/>
        </w:rPr>
        <w:t xml:space="preserve">и, забезпечення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комфортного перебування людей похилого віку в </w:t>
      </w:r>
      <w:r>
        <w:rPr>
          <w:rFonts w:ascii="Times New Roman" w:hAnsi="Times New Roman"/>
          <w:sz w:val="28"/>
          <w:szCs w:val="28"/>
          <w:lang w:val="uk-UA"/>
        </w:rPr>
        <w:t>Броварського міського територіального центру соціального обслуговування Броварського району Київської області 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6F104E" w:rsidRDefault="006F104E" w:rsidP="006F10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МАКОВСЬКИЙ.</w:t>
      </w:r>
    </w:p>
    <w:p w:rsidR="006F104E" w:rsidRPr="00640442" w:rsidRDefault="006F104E" w:rsidP="006F10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6F104E" w:rsidRDefault="006F104E" w:rsidP="006F10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F104E" w:rsidRDefault="006F104E" w:rsidP="006F10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6F104E" w:rsidRDefault="006F104E" w:rsidP="006F104E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</w:t>
      </w:r>
      <w:r>
        <w:rPr>
          <w:rFonts w:ascii="Times New Roman" w:hAnsi="Times New Roman"/>
          <w:sz w:val="28"/>
          <w:szCs w:val="28"/>
          <w:lang w:val="uk-UA"/>
        </w:rPr>
        <w:t xml:space="preserve">тла         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    Володимир МАКОВСЬКИЙ</w:t>
      </w:r>
    </w:p>
    <w:p w:rsidR="009B7D79" w:rsidRPr="006F104E" w:rsidRDefault="009B7D79" w:rsidP="006F104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6F104E" w:rsidSect="006F104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301F2A"/>
    <w:multiLevelType w:val="hybridMultilevel"/>
    <w:tmpl w:val="893ADD36"/>
    <w:lvl w:ilvl="0" w:tplc="6A6872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F104E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F104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2023-06-09T12:50:00Z</dcterms:modified>
</cp:coreProperties>
</file>