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widowControl w:val="1"/>
        <w:ind w:left="0" w:right="0"/>
        <w:bidi w:val="0"/>
        <w:jc w:val="center"/>
        <w:rPr>
          <w:rFonts w:ascii="Times New Roman" w:hAnsi="Times New Roman"/>
          <w:b w:val="1"/>
          <w:i w:val="0"/>
          <w:bCs w:val="0"/>
          <w:caps w:val="0"/>
          <w:strike w:val="0"/>
          <w:noProof w:val="0"/>
          <w:vanish w:val="0"/>
          <w:color w:val="000000"/>
          <w:sz w:val="28"/>
          <w:u w:val="none"/>
          <w:shd w:val="clear" w:color="auto" w:fill="auto"/>
          <w:vertAlign w:val="baseline"/>
          <w:lang/>
        </w:rPr>
      </w:pPr>
    </w:p>
    <w:p>
      <w:pPr>
        <w:widowControl w:val="1"/>
        <w:ind w:left="0" w:right="0"/>
        <w:bidi w:val="0"/>
        <w:jc w:val="center"/>
        <w:rPr>
          <w:rFonts w:ascii="Times New Roman" w:hAnsi="Times New Roman"/>
          <w:b w:val="1"/>
          <w:i w:val="0"/>
          <w:bCs w:val="0"/>
          <w:caps w:val="0"/>
          <w:strike w:val="0"/>
          <w:noProof w:val="0"/>
          <w:vanish w:val="0"/>
          <w:color w:val="000000"/>
          <w:sz w:val="28"/>
          <w:u w:val="none"/>
          <w:shd w:val="clear" w:color="auto" w:fill="auto"/>
          <w:vertAlign w:val="baseline"/>
          <w:lang/>
        </w:rPr>
      </w:pPr>
      <w:r>
        <w:rPr>
          <w:rFonts w:ascii="Times New Roman" w:hAnsi="Times New Roman"/>
          <w:b w:val="1"/>
          <w:i w:val="0"/>
          <w:bCs w:val="0"/>
          <w:caps w:val="0"/>
          <w:strike w:val="0"/>
          <w:noProof w:val="0"/>
          <w:vanish w:val="0"/>
          <w:color w:val="000000"/>
          <w:sz w:val="28"/>
          <w:u w:val="none"/>
          <w:shd w:val="clear" w:color="auto" w:fill="auto"/>
          <w:vertAlign w:val="baseline"/>
          <w:lang/>
        </w:rPr>
        <w:t xml:space="preserve">Пояснювальна записка до проєкту рішення </w:t>
      </w:r>
    </w:p>
    <w:p>
      <w:pPr>
        <w:widowControl w:val="1"/>
        <w:ind w:left="0" w:right="0"/>
        <w:bidi w:val="0"/>
        <w:jc w:val="center"/>
        <w:rPr>
          <w:rFonts w:ascii="Times New Roman" w:hAnsi="Times New Roman"/>
          <w:b w:val="1"/>
          <w:i w:val="0"/>
          <w:bCs w:val="0"/>
          <w:caps w:val="0"/>
          <w:strike w:val="0"/>
          <w:noProof w:val="0"/>
          <w:vanish w:val="0"/>
          <w:color w:val="auto"/>
          <w:sz w:val="28"/>
          <w:u w:val="none"/>
          <w:shd w:val="clear" w:color="auto" w:fill="auto"/>
          <w:vertAlign w:val="baseline"/>
          <w:lang/>
        </w:rPr>
      </w:pPr>
      <w:r>
        <w:rPr>
          <w:rFonts w:ascii="Times New Roman" w:hAnsi="Times New Roman"/>
          <w:b w:val="1"/>
          <w:i w:val="0"/>
          <w:bCs w:val="0"/>
          <w:caps w:val="0"/>
          <w:strike w:val="0"/>
          <w:noProof w:val="0"/>
          <w:vanish w:val="0"/>
          <w:color w:val="auto"/>
          <w:sz w:val="28"/>
          <w:u w:val="none"/>
          <w:shd w:val="clear" w:color="auto" w:fill="auto"/>
          <w:vertAlign w:val="baseline"/>
          <w:lang/>
        </w:rPr>
        <w:t>«Про приватизацію житлового приміщення гуртожитку»</w:t>
      </w:r>
    </w:p>
    <w:p>
      <w:pPr>
        <w:widowControl w:val="1"/>
        <w:ind w:left="0" w:right="0"/>
        <w:bidi w:val="0"/>
        <w:jc w:val="both"/>
        <w:rPr>
          <w:rFonts w:ascii="Times New Roman" w:hAnsi="Times New Roman"/>
          <w:b w:val="0"/>
          <w:i w:val="0"/>
          <w:bCs w:val="0"/>
          <w:caps w:val="0"/>
          <w:strike w:val="0"/>
          <w:noProof w:val="0"/>
          <w:vanish w:val="0"/>
          <w:color w:val="000000"/>
          <w:sz w:val="28"/>
          <w:u w:val="none"/>
          <w:shd w:val="clear" w:color="auto" w:fill="auto"/>
          <w:vertAlign w:val="baseline"/>
          <w:lang/>
        </w:rPr>
      </w:pPr>
      <w:r>
        <w:rPr>
          <w:rFonts w:ascii="Times New Roman" w:hAnsi="Times New Roman"/>
          <w:b w:val="0"/>
          <w:i w:val="0"/>
          <w:bCs w:val="0"/>
          <w:caps w:val="0"/>
          <w:strike w:val="0"/>
          <w:noProof w:val="0"/>
          <w:vanish w:val="0"/>
          <w:color w:val="000000"/>
          <w:sz w:val="28"/>
          <w:u w:val="none"/>
          <w:shd w:val="clear" w:color="auto" w:fill="auto"/>
          <w:vertAlign w:val="baseline"/>
          <w:lang/>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pPr>
        <w:widowControl w:val="1"/>
        <w:ind w:left="0" w:right="0"/>
        <w:bidi w:val="0"/>
        <w:jc w:val="both"/>
        <w:rPr>
          <w:rFonts w:ascii="Times New Roman" w:hAnsi="Times New Roman"/>
          <w:b w:val="1"/>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000000"/>
          <w:sz w:val="28"/>
          <w:u w:val="none"/>
          <w:shd w:val="clear" w:color="auto" w:fill="auto"/>
          <w:vertAlign w:val="baseline"/>
          <w:lang/>
        </w:rPr>
        <w:t xml:space="preserve">     </w:t>
      </w:r>
      <w:r>
        <w:rPr>
          <w:rFonts w:ascii="Times New Roman" w:hAnsi="Times New Roman"/>
          <w:b w:val="1"/>
          <w:i w:val="0"/>
          <w:bCs w:val="0"/>
          <w:caps w:val="0"/>
          <w:strike w:val="0"/>
          <w:noProof w:val="0"/>
          <w:vanish w:val="0"/>
          <w:color w:val="000000"/>
          <w:sz w:val="28"/>
          <w:u w:val="none"/>
          <w:shd w:val="clear" w:color="auto" w:fill="auto"/>
          <w:vertAlign w:val="baseline"/>
          <w:lang/>
        </w:rPr>
        <w:t>1</w:t>
      </w:r>
      <w:r>
        <w:rPr>
          <w:rFonts w:ascii="Times New Roman" w:hAnsi="Times New Roman"/>
          <w:b w:val="0"/>
          <w:i w:val="0"/>
          <w:bCs w:val="0"/>
          <w:caps w:val="0"/>
          <w:strike w:val="0"/>
          <w:noProof w:val="0"/>
          <w:vanish w:val="0"/>
          <w:color w:val="000000"/>
          <w:sz w:val="28"/>
          <w:u w:val="none"/>
          <w:shd w:val="clear" w:color="auto" w:fill="auto"/>
          <w:vertAlign w:val="baseline"/>
          <w:lang/>
        </w:rPr>
        <w:t>.</w:t>
      </w:r>
      <w:r>
        <w:rPr>
          <w:rFonts w:ascii="Times New Roman" w:hAnsi="Times New Roman"/>
          <w:b w:val="1"/>
          <w:i w:val="0"/>
          <w:bCs w:val="0"/>
          <w:caps w:val="0"/>
          <w:strike w:val="0"/>
          <w:noProof w:val="0"/>
          <w:vanish w:val="0"/>
          <w:color w:val="auto"/>
          <w:sz w:val="28"/>
          <w:u w:val="none"/>
          <w:shd w:val="clear" w:color="auto" w:fill="auto"/>
          <w:vertAlign w:val="baseline"/>
          <w:lang/>
        </w:rPr>
        <w:t>Обґрунтування необхідності прийняття рішення</w:t>
      </w:r>
    </w:p>
    <w:p>
      <w:pPr>
        <w:widowControl w:val="1"/>
        <w:ind w:firstLine="426" w:left="0" w:right="0"/>
        <w:contextualSpacing w:val="1"/>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Заява від наймача на оформлення передачі в приватну власність житлового приміщення в гуртожитку та пакет документів подані відповідно до Закону України „Про приватизацію державного житлового фонду”.</w:t>
      </w:r>
    </w:p>
    <w:p>
      <w:pPr>
        <w:widowControl w:val="1"/>
        <w:ind w:firstLine="426" w:left="0" w:right="0"/>
        <w:contextualSpacing w:val="1"/>
        <w:bidi w:val="0"/>
        <w:jc w:val="both"/>
        <w:rPr>
          <w:rFonts w:ascii="Times New Roman" w:hAnsi="Times New Roman"/>
          <w:b w:val="1"/>
          <w:sz w:val="26"/>
          <w:szCs w:val="28"/>
          <w:lang w:val="uk-UA"/>
        </w:rPr>
      </w:pPr>
    </w:p>
    <w:p>
      <w:pPr>
        <w:widowControl w:val="1"/>
        <w:ind w:left="360" w:right="0"/>
        <w:bidi w:val="0"/>
        <w:jc w:val="both"/>
        <w:rPr>
          <w:rFonts w:ascii="Times New Roman" w:hAnsi="Times New Roman"/>
          <w:b w:val="1"/>
          <w:i w:val="0"/>
          <w:bCs w:val="0"/>
          <w:caps w:val="0"/>
          <w:strike w:val="0"/>
          <w:noProof w:val="0"/>
          <w:vanish w:val="0"/>
          <w:color w:val="auto"/>
          <w:sz w:val="28"/>
          <w:u w:val="none"/>
          <w:shd w:val="clear" w:color="auto" w:fill="auto"/>
          <w:vertAlign w:val="baseline"/>
          <w:lang/>
        </w:rPr>
      </w:pPr>
      <w:r>
        <w:rPr>
          <w:rFonts w:ascii="Times New Roman" w:hAnsi="Times New Roman"/>
          <w:b w:val="1"/>
          <w:i w:val="0"/>
          <w:bCs w:val="0"/>
          <w:caps w:val="0"/>
          <w:strike w:val="0"/>
          <w:noProof w:val="0"/>
          <w:vanish w:val="0"/>
          <w:color w:val="auto"/>
          <w:sz w:val="28"/>
          <w:u w:val="none"/>
          <w:shd w:val="clear" w:color="auto" w:fill="auto"/>
          <w:vertAlign w:val="baseline"/>
          <w:lang/>
        </w:rPr>
        <w:t xml:space="preserve"> 2. Мета і шляхи її досягнення</w:t>
      </w:r>
    </w:p>
    <w:p>
      <w:pPr>
        <w:widowControl w:val="1"/>
        <w:ind w:firstLine="426" w:left="0" w:right="0"/>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 xml:space="preserve">Метою приватизації житлового фонду є створення умов для здійснення права громадян на вільний вибір способу задоволення потреб у житлі. </w:t>
      </w:r>
    </w:p>
    <w:p>
      <w:pPr>
        <w:widowControl w:val="1"/>
        <w:ind w:firstLine="426" w:left="0" w:right="0"/>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Приватизація здійснюється шляхом безоплатної передачі громадянам квартир (будинків), житлових приміщень у гуртожитках з розрахунку санітарної норми 21 кв.м. загальної площі на наймача і кожного члена його сім’ї та додатково 10 кв.м. на сім’ю та 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 які проживають у гуртожитку не менше п’яти років на законних підставах.</w:t>
      </w:r>
    </w:p>
    <w:p>
      <w:pPr>
        <w:widowControl w:val="1"/>
        <w:ind w:firstLine="426" w:left="0" w:right="0"/>
        <w:contextualSpacing w:val="1"/>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 xml:space="preserve">Передача займаних житлових приміщень у гуртожитках в приватну (спільну сумісну, спільну часткову) власність здійснюється за письмовою згодою всіх повнолітніх членів сім’ї, за умови відсутності заборгованості зі сплати за комунальні послуги та проживання у гуртожитку протягом тривалого часу – постійно сукупно п’ять і більше років. Вимога щодо проживання у гуртожитку протягом тривалого часу не поширюється на членів сім’ї громадянина, якому видано ордер на жилу площу в гуртожитку та який є основним наймачем жилого приміщення в гуртожитку, а також на мешканців гуртожитків, які на правових підставах були вселені у гуртожиток, фактично проживали в гуртожитку сукупно не менше одного року та стали учасниками антитерористичної операції у складі Збройних Сил України, Національної гвардії України, органів внутрішніх справ України та інших військових формувань, створених відповідно до закону, та добровольчих формувань, що були утворені або самоорганізувалися для захисту незалежності, суверенітету та територіальної цілісності України. </w:t>
      </w:r>
    </w:p>
    <w:p>
      <w:pPr>
        <w:widowControl w:val="1"/>
        <w:ind w:firstLine="426" w:left="0" w:right="0"/>
        <w:contextualSpacing w:val="1"/>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 xml:space="preserve">Оскільки після прийняття гуртожитку у комунальну власність Броварської </w:t>
      </w:r>
      <w:r>
        <w:rPr>
          <w:rFonts w:ascii="Times New Roman" w:hAnsi="Times New Roman"/>
          <w:b w:val="0"/>
          <w:i w:val="0"/>
          <w:bCs w:val="0"/>
          <w:caps w:val="0"/>
          <w:strike w:val="0"/>
          <w:noProof w:val="0"/>
          <w:vanish w:val="0"/>
          <w:color w:val="auto"/>
          <w:sz w:val="28"/>
          <w:u w:val="none"/>
          <w:shd w:val="clear" w:color="auto" w:fill="auto"/>
          <w:vertAlign w:val="baseline"/>
          <w:lang/>
        </w:rPr>
        <w:t>міської територіальної громади здійснюється перереєстрація мешканців гуртожитку, які фактично проживали у цьому гуртожитку до даного моменту, та видається новий ордер на жилу площу у гуртожитку, розглядаючи документи на приватизацію житлових приміщень у гуртожитку враховується фактичний термін проживання громадянина у даному гуртожитку.</w:t>
      </w:r>
    </w:p>
    <w:p>
      <w:pPr>
        <w:widowControl w:val="1"/>
        <w:ind w:firstLine="426" w:left="0" w:right="0"/>
        <w:contextualSpacing w:val="1"/>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Відомості щодо заборгованості зі сплати за комунальні послуги, терміну фактичного проживання заявника та дату перереєстрації у гуртожитку наведено в інформації щодо наймача, якому передається у приватну</w:t>
      </w:r>
      <w:r>
        <w:rPr>
          <w:rFonts w:ascii="Times New Roman" w:hAnsi="Times New Roman"/>
          <w:b w:val="0"/>
          <w:i w:val="0"/>
          <w:bCs w:val="0"/>
          <w:caps w:val="0"/>
          <w:strike w:val="0"/>
          <w:noProof w:val="0"/>
          <w:vanish w:val="0"/>
          <w:color w:val="auto"/>
          <w:sz w:val="32"/>
          <w:u w:val="none"/>
          <w:shd w:val="clear" w:color="auto" w:fill="auto"/>
          <w:vertAlign w:val="baseline"/>
          <w:lang/>
        </w:rPr>
        <w:t xml:space="preserve"> </w:t>
      </w:r>
      <w:r>
        <w:rPr>
          <w:rFonts w:ascii="Times New Roman" w:hAnsi="Times New Roman"/>
          <w:b w:val="0"/>
          <w:i w:val="0"/>
          <w:bCs w:val="0"/>
          <w:caps w:val="0"/>
          <w:strike w:val="0"/>
          <w:noProof w:val="0"/>
          <w:vanish w:val="0"/>
          <w:color w:val="auto"/>
          <w:sz w:val="28"/>
          <w:u w:val="none"/>
          <w:shd w:val="clear" w:color="auto" w:fill="auto"/>
          <w:vertAlign w:val="baseline"/>
          <w:lang/>
        </w:rPr>
        <w:t xml:space="preserve">власність житлове приміщення у гуртожитку. </w:t>
      </w:r>
    </w:p>
    <w:p>
      <w:pPr>
        <w:widowControl w:val="1"/>
        <w:ind w:firstLine="426" w:left="0" w:right="0"/>
        <w:contextualSpacing w:val="1"/>
        <w:bidi w:val="0"/>
        <w:jc w:val="both"/>
        <w:rPr>
          <w:rFonts w:ascii="Times New Roman" w:hAnsi="Times New Roman"/>
          <w:b w:val="1"/>
          <w:sz w:val="26"/>
          <w:szCs w:val="28"/>
          <w:lang w:val="uk-UA"/>
        </w:rPr>
      </w:pPr>
    </w:p>
    <w:p>
      <w:pPr>
        <w:widowControl w:val="1"/>
        <w:ind w:left="360" w:right="0"/>
        <w:bidi w:val="0"/>
        <w:jc w:val="both"/>
        <w:rPr>
          <w:rFonts w:ascii="Times New Roman" w:hAnsi="Times New Roman"/>
          <w:b w:val="1"/>
          <w:i w:val="0"/>
          <w:bCs w:val="0"/>
          <w:caps w:val="0"/>
          <w:strike w:val="0"/>
          <w:noProof w:val="0"/>
          <w:vanish w:val="0"/>
          <w:color w:val="auto"/>
          <w:sz w:val="28"/>
          <w:u w:val="none"/>
          <w:shd w:val="clear" w:color="auto" w:fill="auto"/>
          <w:vertAlign w:val="baseline"/>
          <w:lang/>
        </w:rPr>
      </w:pPr>
      <w:r>
        <w:rPr>
          <w:rFonts w:ascii="Times New Roman" w:hAnsi="Times New Roman"/>
          <w:b w:val="1"/>
          <w:i w:val="0"/>
          <w:bCs w:val="0"/>
          <w:caps w:val="0"/>
          <w:strike w:val="0"/>
          <w:noProof w:val="0"/>
          <w:vanish w:val="0"/>
          <w:color w:val="auto"/>
          <w:sz w:val="28"/>
          <w:u w:val="none"/>
          <w:shd w:val="clear" w:color="auto" w:fill="auto"/>
          <w:vertAlign w:val="baseline"/>
          <w:lang/>
        </w:rPr>
        <w:t xml:space="preserve"> 3. Правові аспекти</w:t>
      </w:r>
    </w:p>
    <w:p>
      <w:pPr>
        <w:widowControl w:val="1"/>
        <w:ind w:firstLine="426" w:left="0" w:right="0"/>
        <w:contextualSpacing w:val="1"/>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Закони України «Про приватизацію державного житлового фонду», «Про забезпечення реалізації житлових прав мешканців гуртожитків», пунктом 30 статті 26 Закону України «Про місцеве самоврядування в Україні» та наказом Міністерства з питань житлово – комунального господарства України від 16.12.2009 № 396 «Про затвердження Положення про порядок передачі квартир (будинків) жилих приміщень у гуртожитках у власність громадян».</w:t>
      </w:r>
    </w:p>
    <w:p>
      <w:pPr>
        <w:widowControl w:val="1"/>
        <w:ind w:firstLine="426" w:left="0" w:right="0"/>
        <w:contextualSpacing w:val="1"/>
        <w:bidi w:val="0"/>
        <w:jc w:val="both"/>
        <w:rPr>
          <w:rFonts w:ascii="Times New Roman" w:hAnsi="Times New Roman"/>
          <w:b w:val="1"/>
          <w:sz w:val="28"/>
          <w:szCs w:val="28"/>
          <w:lang w:val="uk-UA"/>
        </w:rPr>
      </w:pPr>
    </w:p>
    <w:p>
      <w:pPr>
        <w:widowControl w:val="1"/>
        <w:ind w:left="360" w:right="0"/>
        <w:bidi w:val="0"/>
        <w:jc w:val="both"/>
        <w:rPr>
          <w:rFonts w:ascii="Times New Roman" w:hAnsi="Times New Roman"/>
          <w:b w:val="1"/>
          <w:i w:val="0"/>
          <w:bCs w:val="0"/>
          <w:caps w:val="0"/>
          <w:strike w:val="0"/>
          <w:noProof w:val="0"/>
          <w:vanish w:val="0"/>
          <w:color w:val="auto"/>
          <w:sz w:val="28"/>
          <w:u w:val="none"/>
          <w:shd w:val="clear" w:color="auto" w:fill="auto"/>
          <w:vertAlign w:val="baseline"/>
          <w:lang/>
        </w:rPr>
      </w:pPr>
      <w:r>
        <w:rPr>
          <w:rFonts w:ascii="Times New Roman" w:hAnsi="Times New Roman"/>
          <w:b w:val="1"/>
          <w:i w:val="0"/>
          <w:bCs w:val="0"/>
          <w:caps w:val="0"/>
          <w:strike w:val="0"/>
          <w:noProof w:val="0"/>
          <w:vanish w:val="0"/>
          <w:color w:val="auto"/>
          <w:sz w:val="28"/>
          <w:u w:val="none"/>
          <w:shd w:val="clear" w:color="auto" w:fill="auto"/>
          <w:vertAlign w:val="baseline"/>
          <w:lang/>
        </w:rPr>
        <w:t>4. Фінансово-економічне обґрунтування</w:t>
      </w:r>
    </w:p>
    <w:p>
      <w:pPr>
        <w:widowControl w:val="1"/>
        <w:ind w:left="360" w:right="0"/>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Прийняття даного рішення виділення коштів не потребує.</w:t>
      </w:r>
    </w:p>
    <w:p>
      <w:pPr>
        <w:widowControl w:val="1"/>
        <w:ind w:left="360" w:right="0"/>
        <w:bidi w:val="0"/>
        <w:jc w:val="both"/>
        <w:rPr>
          <w:rFonts w:ascii="Times New Roman" w:hAnsi="Times New Roman"/>
          <w:b w:val="1"/>
          <w:i w:val="0"/>
          <w:bCs w:val="0"/>
          <w:caps w:val="0"/>
          <w:strike w:val="0"/>
          <w:noProof w:val="0"/>
          <w:vanish w:val="0"/>
          <w:color w:val="auto"/>
          <w:sz w:val="28"/>
          <w:u w:val="none"/>
          <w:shd w:val="clear" w:color="auto" w:fill="auto"/>
          <w:vertAlign w:val="baseline"/>
          <w:lang/>
        </w:rPr>
      </w:pPr>
      <w:r>
        <w:rPr>
          <w:rFonts w:ascii="Times New Roman" w:hAnsi="Times New Roman"/>
          <w:b w:val="1"/>
          <w:i w:val="0"/>
          <w:bCs w:val="0"/>
          <w:caps w:val="0"/>
          <w:strike w:val="0"/>
          <w:noProof w:val="0"/>
          <w:vanish w:val="0"/>
          <w:color w:val="auto"/>
          <w:sz w:val="28"/>
          <w:u w:val="none"/>
          <w:shd w:val="clear" w:color="auto" w:fill="auto"/>
          <w:vertAlign w:val="baseline"/>
          <w:lang/>
        </w:rPr>
        <w:t>5. Прогноз результатів</w:t>
      </w:r>
    </w:p>
    <w:p>
      <w:pPr>
        <w:widowControl w:val="1"/>
        <w:ind w:firstLine="294" w:left="0" w:right="0"/>
        <w:contextualSpacing w:val="1"/>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Виготовлення та видача свідоцтва про право власності та приватизаційних платіжних доручень для сплати житлових чеків в АТ «Ощадбанк».</w:t>
      </w:r>
    </w:p>
    <w:p>
      <w:pPr>
        <w:widowControl w:val="1"/>
        <w:ind w:firstLine="294" w:left="0" w:right="0"/>
        <w:contextualSpacing w:val="1"/>
        <w:bidi w:val="0"/>
        <w:jc w:val="both"/>
        <w:rPr>
          <w:rFonts w:ascii="Times New Roman" w:hAnsi="Times New Roman"/>
          <w:b w:val="1"/>
          <w:sz w:val="24"/>
          <w:szCs w:val="28"/>
          <w:lang w:val="uk-UA"/>
        </w:rPr>
      </w:pPr>
    </w:p>
    <w:p>
      <w:pPr>
        <w:widowControl w:val="1"/>
        <w:ind w:left="360" w:right="0"/>
        <w:bidi w:val="0"/>
        <w:jc w:val="both"/>
        <w:rPr>
          <w:rFonts w:ascii="Times New Roman" w:hAnsi="Times New Roman"/>
          <w:b w:val="1"/>
          <w:i w:val="0"/>
          <w:bCs w:val="0"/>
          <w:caps w:val="0"/>
          <w:strike w:val="0"/>
          <w:noProof w:val="0"/>
          <w:vanish w:val="0"/>
          <w:color w:val="auto"/>
          <w:sz w:val="28"/>
          <w:u w:val="none"/>
          <w:shd w:val="clear" w:color="auto" w:fill="auto"/>
          <w:vertAlign w:val="baseline"/>
          <w:lang/>
        </w:rPr>
      </w:pPr>
      <w:r>
        <w:rPr>
          <w:rFonts w:ascii="Times New Roman" w:hAnsi="Times New Roman"/>
          <w:b w:val="1"/>
          <w:i w:val="0"/>
          <w:bCs w:val="0"/>
          <w:caps w:val="0"/>
          <w:strike w:val="0"/>
          <w:noProof w:val="0"/>
          <w:vanish w:val="0"/>
          <w:color w:val="auto"/>
          <w:sz w:val="28"/>
          <w:u w:val="none"/>
          <w:shd w:val="clear" w:color="auto" w:fill="auto"/>
          <w:vertAlign w:val="baseline"/>
          <w:lang/>
        </w:rPr>
        <w:t xml:space="preserve"> 6. Суб’єкт подання проєкту рішення</w:t>
      </w:r>
    </w:p>
    <w:p>
      <w:pPr>
        <w:widowControl w:val="1"/>
        <w:ind w:firstLine="426" w:left="0" w:right="0"/>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1"/>
          <w:i w:val="0"/>
          <w:bCs w:val="0"/>
          <w:caps w:val="0"/>
          <w:strike w:val="0"/>
          <w:noProof w:val="0"/>
          <w:vanish w:val="0"/>
          <w:color w:val="auto"/>
          <w:sz w:val="28"/>
          <w:u w:val="none"/>
          <w:shd w:val="clear" w:color="auto" w:fill="auto"/>
          <w:vertAlign w:val="baseline"/>
          <w:lang/>
        </w:rPr>
        <w:t>Доповідач:</w:t>
      </w:r>
      <w:r>
        <w:rPr>
          <w:rFonts w:ascii="Times New Roman" w:hAnsi="Times New Roman"/>
          <w:b w:val="0"/>
          <w:i w:val="0"/>
          <w:bCs w:val="0"/>
          <w:caps w:val="0"/>
          <w:strike w:val="0"/>
          <w:noProof w:val="0"/>
          <w:vanish w:val="0"/>
          <w:color w:val="auto"/>
          <w:sz w:val="28"/>
          <w:u w:val="none"/>
          <w:shd w:val="clear" w:color="auto" w:fill="auto"/>
          <w:vertAlign w:val="baseline"/>
          <w:lang/>
        </w:rPr>
        <w:t xml:space="preserve"> начальник управління з питань комунальної власності та житла Броварської міської ради Броварського району Київської області - Маковський Володимир.</w:t>
      </w:r>
    </w:p>
    <w:p>
      <w:pPr>
        <w:widowControl w:val="1"/>
        <w:spacing w:lineRule="auto" w:line="276" w:after="200"/>
        <w:ind w:firstLine="426" w:left="0" w:right="0"/>
        <w:bidi w:val="0"/>
        <w:jc w:val="both"/>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1"/>
          <w:i w:val="0"/>
          <w:bCs w:val="0"/>
          <w:caps w:val="0"/>
          <w:strike w:val="0"/>
          <w:noProof w:val="0"/>
          <w:vanish w:val="0"/>
          <w:color w:val="auto"/>
          <w:sz w:val="28"/>
          <w:u w:val="none"/>
          <w:shd w:val="clear" w:color="auto" w:fill="auto"/>
          <w:vertAlign w:val="baseline"/>
          <w:lang/>
        </w:rPr>
        <w:t>7. Відповідальний за підготовку проєкту:</w:t>
      </w:r>
      <w:r>
        <w:rPr>
          <w:rFonts w:ascii="Times New Roman" w:hAnsi="Times New Roman"/>
          <w:b w:val="0"/>
          <w:i w:val="0"/>
          <w:bCs w:val="0"/>
          <w:caps w:val="0"/>
          <w:strike w:val="0"/>
          <w:noProof w:val="0"/>
          <w:vanish w:val="0"/>
          <w:color w:val="auto"/>
          <w:sz w:val="28"/>
          <w:u w:val="none"/>
          <w:shd w:val="clear" w:color="auto" w:fill="auto"/>
          <w:vertAlign w:val="baseline"/>
          <w:lang/>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 Марина Шевчук.</w:t>
      </w:r>
    </w:p>
    <w:p>
      <w:pPr>
        <w:widowControl w:val="1"/>
        <w:ind w:left="0" w:right="0"/>
        <w:bidi w:val="0"/>
        <w:jc w:val="left"/>
        <w:rPr>
          <w:rFonts w:ascii="Times New Roman" w:hAnsi="Times New Roman"/>
          <w:b w:val="0"/>
          <w:i w:val="0"/>
          <w:bCs w:val="0"/>
          <w:caps w:val="0"/>
          <w:strike w:val="0"/>
          <w:noProof w:val="0"/>
          <w:vanish w:val="0"/>
          <w:color w:val="auto"/>
          <w:sz w:val="24"/>
          <w:u w:val="none"/>
          <w:shd w:val="clear" w:color="auto" w:fill="auto"/>
          <w:vertAlign w:val="baseline"/>
          <w:lang/>
        </w:rPr>
      </w:pPr>
    </w:p>
    <w:p>
      <w:pPr>
        <w:widowControl w:val="1"/>
        <w:ind w:left="0" w:right="0"/>
        <w:bidi w:val="0"/>
        <w:jc w:val="left"/>
        <w:rPr>
          <w:rFonts w:ascii="Times New Roman" w:hAnsi="Times New Roman"/>
          <w:b w:val="0"/>
          <w:i w:val="0"/>
          <w:bCs w:val="0"/>
          <w:caps w:val="0"/>
          <w:strike w:val="0"/>
          <w:noProof w:val="0"/>
          <w:vanish w:val="0"/>
          <w:color w:val="auto"/>
          <w:sz w:val="28"/>
          <w:u w:val="none"/>
          <w:shd w:val="clear" w:color="auto" w:fill="auto"/>
          <w:vertAlign w:val="baseline"/>
          <w:lang/>
        </w:rPr>
      </w:pPr>
      <w:r>
        <w:rPr>
          <w:rFonts w:ascii="Times New Roman" w:hAnsi="Times New Roman"/>
          <w:b w:val="0"/>
          <w:i w:val="0"/>
          <w:bCs w:val="0"/>
          <w:caps w:val="0"/>
          <w:strike w:val="0"/>
          <w:noProof w:val="0"/>
          <w:vanish w:val="0"/>
          <w:color w:val="auto"/>
          <w:sz w:val="28"/>
          <w:u w:val="none"/>
          <w:shd w:val="clear" w:color="auto" w:fill="auto"/>
          <w:vertAlign w:val="baseline"/>
          <w:lang/>
        </w:rPr>
        <w:t xml:space="preserve">Начальник управління                                              Володимир МАКОВСЬКИЙ</w:t>
      </w:r>
    </w:p>
    <w:p>
      <w:pPr>
        <w:suppressAutoHyphens w:val="1"/>
        <w:spacing w:lineRule="auto" w:line="240" w:after="0" w:beforeAutospacing="0" w:afterAutospacing="0"/>
        <w:jc w:val="both"/>
        <w:rPr>
          <w:rFonts w:ascii="Times New Roman" w:hAnsi="Times New Roman"/>
          <w:color w:val="000000"/>
          <w:sz w:val="28"/>
          <w:szCs w:val="28"/>
          <w:lang w:val="uk-UA" w:eastAsia="zh-CN"/>
        </w:rPr>
      </w:pPr>
    </w:p>
    <w:sectPr>
      <w:type w:val="nextPage"/>
      <w:pgSz w:w="11906" w:h="16838" w:code="0"/>
      <w:pgMar w:left="1701" w:right="850" w:top="568" w:bottom="426" w:header="708" w:footer="708" w:gutter="0"/>
    </w:sectPr>
  </w:body>
</w:document>
</file>

<file path=word/numbering.xml><?xml version="1.0" encoding="utf-8"?>
<w:numbering xmlns:w="http://schemas.openxmlformats.org/wordprocessingml/2006/main">
  <w:abstractNum w:abstractNumId="0">
    <w:nsid w:val="00000001"/>
    <w:multiLevelType w:val="multilevel"/>
    <w:lvl w:ilvl="0">
      <w:start w:val="1"/>
      <w:numFmt w:val="none"/>
      <w:suff w:val="nothing"/>
      <w:lvlText w:val="%1."/>
      <w:lvlJc w:val="left"/>
      <w:pPr>
        <w:ind w:hanging="432" w:left="432"/>
        <w:tabs>
          <w:tab w:val="num" w:pos="432" w:leader="none"/>
        </w:tabs>
      </w:pPr>
      <w:rPr/>
    </w:lvl>
    <w:lvl w:ilvl="1">
      <w:start w:val="1"/>
      <w:numFmt w:val="none"/>
      <w:suff w:val="nothing"/>
      <w:lvlText w:val="%1."/>
      <w:lvlJc w:val="left"/>
      <w:pPr>
        <w:ind w:hanging="576" w:left="576"/>
        <w:tabs>
          <w:tab w:val="num" w:pos="576" w:leader="none"/>
        </w:tabs>
      </w:pPr>
      <w:rPr/>
    </w:lvl>
    <w:lvl w:ilvl="2">
      <w:start w:val="1"/>
      <w:numFmt w:val="none"/>
      <w:suff w:val="nothing"/>
      <w:lvlText w:val="%1."/>
      <w:lvlJc w:val="left"/>
      <w:pPr>
        <w:ind w:hanging="720" w:left="720"/>
        <w:tabs>
          <w:tab w:val="num" w:pos="720" w:leader="none"/>
        </w:tabs>
      </w:pPr>
      <w:rPr/>
    </w:lvl>
    <w:lvl w:ilvl="3">
      <w:start w:val="1"/>
      <w:numFmt w:val="none"/>
      <w:suff w:val="nothing"/>
      <w:lvlText w:val="%1."/>
      <w:lvlJc w:val="left"/>
      <w:pPr>
        <w:ind w:hanging="864" w:left="864"/>
        <w:tabs>
          <w:tab w:val="num" w:pos="864" w:leader="none"/>
        </w:tabs>
      </w:pPr>
      <w:rPr/>
    </w:lvl>
    <w:lvl w:ilvl="4">
      <w:start w:val="1"/>
      <w:numFmt w:val="none"/>
      <w:suff w:val="nothing"/>
      <w:lvlText w:val="%1."/>
      <w:lvlJc w:val="left"/>
      <w:pPr>
        <w:ind w:hanging="1008" w:left="1008"/>
        <w:tabs>
          <w:tab w:val="num" w:pos="1008" w:leader="none"/>
        </w:tabs>
      </w:pPr>
      <w:rPr/>
    </w:lvl>
    <w:lvl w:ilvl="5">
      <w:start w:val="1"/>
      <w:numFmt w:val="none"/>
      <w:suff w:val="nothing"/>
      <w:lvlText w:val="%1."/>
      <w:lvlJc w:val="left"/>
      <w:pPr>
        <w:ind w:hanging="1152" w:left="1152"/>
        <w:tabs>
          <w:tab w:val="num" w:pos="1152" w:leader="none"/>
        </w:tabs>
      </w:pPr>
      <w:rPr/>
    </w:lvl>
    <w:lvl w:ilvl="6">
      <w:start w:val="1"/>
      <w:numFmt w:val="none"/>
      <w:suff w:val="nothing"/>
      <w:lvlText w:val="%1."/>
      <w:lvlJc w:val="left"/>
      <w:pPr>
        <w:ind w:hanging="1296" w:left="1296"/>
        <w:tabs>
          <w:tab w:val="num" w:pos="1296" w:leader="none"/>
        </w:tabs>
      </w:pPr>
      <w:rPr/>
    </w:lvl>
    <w:lvl w:ilvl="7">
      <w:start w:val="1"/>
      <w:numFmt w:val="none"/>
      <w:suff w:val="nothing"/>
      <w:lvlText w:val="%1."/>
      <w:lvlJc w:val="left"/>
      <w:pPr>
        <w:ind w:hanging="1440" w:left="1440"/>
        <w:tabs>
          <w:tab w:val="num" w:pos="1440" w:leader="none"/>
        </w:tabs>
      </w:pPr>
      <w:rPr/>
    </w:lvl>
    <w:lvl w:ilvl="8">
      <w:start w:val="1"/>
      <w:numFmt w:val="none"/>
      <w:suff w:val="nothing"/>
      <w:lvlText w:val="%1."/>
      <w:lvlJc w:val="left"/>
      <w:pPr>
        <w:ind w:hanging="1584" w:left="1584"/>
        <w:tabs>
          <w:tab w:val="num" w:pos="1584" w:leader="none"/>
        </w:tabs>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ru-RU" w:bidi="ar-SA" w:eastAsia="ru-RU"/>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Normal (Web)"/>
    <w:basedOn w:val="P0"/>
    <w:pPr>
      <w:spacing w:lineRule="auto" w:line="240" w:before="100" w:after="100" w:beforeAutospacing="1" w:afterAutospacing="1"/>
    </w:pPr>
    <w:rPr>
      <w:rFonts w:ascii="Times New Roman" w:hAnsi="Times New Roman"/>
      <w:sz w:val="24"/>
      <w:szCs w:val="24"/>
      <w:lang w:val="uk-UA" w:eastAsia="uk-U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qFormat/>
    <w:rPr>
      <w:b w:val="1"/>
      <w:bCs w:val="1"/>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2021-03-03T14:03:00Z</dcterms:created>
  <cp:lastModifiedBy>ASKOD</cp:lastModifiedBy>
  <dcterms:modified xsi:type="dcterms:W3CDTF">2023-05-04T06:05:58Z</dcterms:modified>
  <cp:revision>16</cp:revision>
</cp:coreProperties>
</file>