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майна, що перебуває на балансі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служби у справах дітей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 виконавчого комітету Броварської міської ради Броварського району Київської області: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7"/>
        <w:gridCol w:w="1738"/>
        <w:gridCol w:w="1509"/>
        <w:gridCol w:w="740"/>
        <w:gridCol w:w="1209"/>
        <w:gridCol w:w="1072"/>
        <w:gridCol w:w="1106"/>
        <w:gridCol w:w="1506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Інвентарний номер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кість 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 вартість (грн.)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 грн.)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кова 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 грн.)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 експуатацію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Сейф металевий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11360190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09.2010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Стіл письмовий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ст-1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11360052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603,00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302,00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301,00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31.12.2009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комп’ютерний  СУ -4  ОЛЬХА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111340258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2264,00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1132,00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1132,00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27.12.2019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2886,00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1443,00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1443,00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2023-05-04T07:06:42Z</dcterms:modified>
</cp:coreProperties>
</file>