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Перелік майна, що перебуває на балансі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служби у справах дітей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 виконавчого комітету Броварської міської ради Броварського району Київської області: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7"/>
        <w:gridCol w:w="1738"/>
        <w:gridCol w:w="1509"/>
        <w:gridCol w:w="740"/>
        <w:gridCol w:w="1209"/>
        <w:gridCol w:w="1072"/>
        <w:gridCol w:w="1106"/>
        <w:gridCol w:w="1506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Інвентарний номер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кість 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 вартість (грн.)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 грн.)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кова 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 грн.)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 експуатацію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Сейф металевий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11360190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09.2010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Стіл письмовий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ст-1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11360052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603,00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301,00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31.12.2009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комп’ютерний  СУ -4  ОЛЬХА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111340258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2264,00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1132,00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27.12.2019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2886,00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1443,00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1443,00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spacing w:beforeAutospacing="0" w:after="28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2023-05-04T07:06:42Z</dcterms:modified>
</cp:coreProperties>
</file>