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 № 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«Перлинка»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1"/>
        <w:gridCol w:w="1597"/>
        <w:gridCol w:w="1196"/>
        <w:gridCol w:w="1066"/>
        <w:gridCol w:w="1157"/>
        <w:gridCol w:w="1379"/>
        <w:gridCol w:w="1136"/>
        <w:gridCol w:w="1056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ний 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Дитячі столи «пазл»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Княж зелений куточок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робочий з шухлядами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750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аліса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дитячий iso№2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3145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1572,5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1572,5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 2-х містн.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11131903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12650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6325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6325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2019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для документів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7542,86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3771,43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3771,43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Стілець дитячий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11137137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1656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1656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2017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Полиця книжна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1136291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2013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господарська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1136478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2450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2016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42419,86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22744,93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19674,93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2023-05-04T07:06:07Z</dcterms:modified>
</cp:coreProperties>
</file>