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ліцею № 5 ім. Василя Стуса</w:t>
      </w: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ради Броварського району Київської області</w:t>
      </w: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«Лісова казка»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720" w:right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>
        <w:tblPrEx>
          <w:tblW w:w="946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Залишкова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ввода в  експлуатацію</w:t>
            </w:r>
          </w:p>
        </w:tc>
      </w:tr>
      <w:tr>
        <w:tblPrEx>
          <w:tblW w:w="9465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Дизель-генераторна установка FEDA-YD35 в шумопоглинаючому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101484829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487500,00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</w:tr>
    </w:tbl>
    <w:p>
      <w:pPr>
        <w:widowControl/>
        <w:bidi w:val="0"/>
        <w:spacing w:beforeAutospacing="0" w:after="28" w:afterAutospacing="0" w:line="240" w:lineRule="auto"/>
        <w:ind w:left="720" w:right="0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2023-05-04T07:10:55Z</dcterms:modified>
</cp:coreProperties>
</file>