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«Золотий ключик»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«Ластівка»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5"/>
        <w:gridCol w:w="1482"/>
        <w:gridCol w:w="1420"/>
        <w:gridCol w:w="847"/>
        <w:gridCol w:w="1256"/>
        <w:gridCol w:w="874"/>
        <w:gridCol w:w="1388"/>
        <w:gridCol w:w="1626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  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Залишкова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Дизель-генераторна установка TMGQC-22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101420062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360000,00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2023-05-04T07:08:23Z</dcterms:modified>
</cp:coreProperties>
</file>