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__________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закладу дошкільної освіти  (ясла-садок) комбінованого типу «Казка»  Броварської міської ради Броварського району Київської області та передається на баланс закладу дошкільної освіти (ясла-садок) комбінованого типу «Віночок» Броварської міської ради Броварського району  Київської області</w:t>
      </w:r>
    </w:p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  експлуатацію</w:t>
            </w:r>
          </w:p>
        </w:tc>
      </w:tr>
      <w:tr>
        <w:tblPrEx>
          <w:tblW w:w="9465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Генератор GUCBIR GJB9500E, Gasoline, 1 Phase, 8000W, Electric Srart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101420001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</w:tbl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2023-05-04T06:58:43Z</dcterms:modified>
</cp:coreProperties>
</file>