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28" w:rsidRDefault="00647A28" w:rsidP="00647A28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color w:val="000000"/>
          <w:sz w:val="28"/>
          <w:szCs w:val="28"/>
        </w:rPr>
        <w:t>Пояснювальна</w:t>
      </w:r>
      <w:proofErr w:type="spellEnd"/>
      <w:r>
        <w:rPr>
          <w:b/>
          <w:color w:val="000000"/>
          <w:sz w:val="28"/>
          <w:szCs w:val="28"/>
        </w:rPr>
        <w:t xml:space="preserve"> записка до про</w:t>
      </w:r>
      <w:r>
        <w:rPr>
          <w:b/>
          <w:color w:val="000000"/>
          <w:sz w:val="28"/>
          <w:szCs w:val="28"/>
          <w:lang w:val="uk-UA"/>
        </w:rPr>
        <w:t>є</w:t>
      </w:r>
      <w:proofErr w:type="spellStart"/>
      <w:r>
        <w:rPr>
          <w:b/>
          <w:color w:val="000000"/>
          <w:sz w:val="28"/>
          <w:szCs w:val="28"/>
        </w:rPr>
        <w:t>кту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>ішення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:rsidR="00647A28" w:rsidRDefault="00647A28" w:rsidP="00647A28">
      <w:pPr>
        <w:pStyle w:val="docdata"/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  <w:lang w:val="uk-UA"/>
        </w:rPr>
        <w:t>Про приватизацію житлових приміщень гуртожиткі</w:t>
      </w:r>
      <w:proofErr w:type="gramStart"/>
      <w:r>
        <w:rPr>
          <w:b/>
          <w:sz w:val="28"/>
          <w:szCs w:val="28"/>
          <w:lang w:val="uk-UA"/>
        </w:rPr>
        <w:t>в</w:t>
      </w:r>
      <w:proofErr w:type="gramEnd"/>
      <w:r>
        <w:rPr>
          <w:b/>
          <w:color w:val="000000"/>
          <w:sz w:val="28"/>
          <w:szCs w:val="28"/>
        </w:rPr>
        <w:t>»</w:t>
      </w:r>
    </w:p>
    <w:p w:rsidR="00647A28" w:rsidRDefault="00647A28" w:rsidP="00647A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47A28" w:rsidRDefault="00647A28" w:rsidP="00647A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47A28" w:rsidRDefault="00647A28" w:rsidP="00647A28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647A28" w:rsidRDefault="00647A28" w:rsidP="00647A28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647A28" w:rsidRDefault="00647A28" w:rsidP="00647A28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647A28" w:rsidRDefault="00647A28" w:rsidP="00647A28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Заяви від наймачів на оформлення передачі в приватну (спільну сумісну, спільну часткову) власність жилого приміщення в гуртожитку та пакет документів відповідно до Закону України „Про приватизацію державного житлового фонду”.</w:t>
      </w:r>
    </w:p>
    <w:p w:rsidR="00647A28" w:rsidRDefault="00647A28" w:rsidP="00647A28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7A28" w:rsidRDefault="00647A28" w:rsidP="00647A28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Мета і шляхи її досягнення</w:t>
      </w:r>
    </w:p>
    <w:p w:rsidR="00647A28" w:rsidRDefault="00647A28" w:rsidP="00647A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:rsidR="00647A28" w:rsidRDefault="00647A28" w:rsidP="00647A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:rsidR="00647A28" w:rsidRDefault="00647A28" w:rsidP="00647A28">
      <w:pPr>
        <w:numPr>
          <w:ilvl w:val="0"/>
          <w:numId w:val="3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:rsidR="00647A28" w:rsidRDefault="00647A28" w:rsidP="00647A28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:rsidR="00647A28" w:rsidRDefault="00647A28" w:rsidP="00647A28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Передача займаних жилих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наймачем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вселені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проживали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року та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антитерористичної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гвардії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закону,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самоорганізувалися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Оскільки 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цьому гуртожитку до даного моменту, та видається новий ордер на жилу площу у гуртожитку, розглядаючи документи на приватизацію житлових приміщень у гуртожитку враховується фактичний термін проживання громадянина у даному гуртожитку.</w:t>
      </w:r>
    </w:p>
    <w:p w:rsidR="00647A28" w:rsidRDefault="00647A28" w:rsidP="00647A28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Відомості щодо заборгованості зі сплати за комунальні послуги, терміну фактичного проживання заявників, членів їх родин та дату перереєстрації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гуртожитку наведено в інформації щодо наймачів, яким передаються у приватну</w:t>
      </w:r>
      <w:r w:rsidRPr="006D556F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w:proofErr w:type="spellStart"/>
      <w:r w:rsidRPr="0093128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</w:t>
      </w:r>
      <w:r w:rsidRPr="009312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існу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власність житлові приміщення у гуртожитках.</w:t>
      </w:r>
    </w:p>
    <w:p w:rsidR="00647A28" w:rsidRDefault="00647A28" w:rsidP="00647A28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 4 про внесення змін до рішення Броварської міської ради Броварського району Київської області </w:t>
      </w:r>
      <w:r w:rsidRPr="006D5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25.05.2023 № 1153-49-08 «Про приватизацію житлового приміщення гуртожитку»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прописано у даному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зв’язку з тим, що в результаті технічної помилки, на офіційному веб – порталі Броварської міської ради Броварського району Київської області розміщено рішення, в якому зазначена адреса: «Героїв УПА, 15» замість «Героїв УПА, 15А».    </w:t>
      </w:r>
      <w:r w:rsidRPr="006D5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647A28" w:rsidRDefault="00647A28" w:rsidP="00647A28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7A28" w:rsidRDefault="00647A28" w:rsidP="00647A28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Правові аспекти</w:t>
      </w:r>
    </w:p>
    <w:p w:rsidR="00647A28" w:rsidRDefault="00647A28" w:rsidP="00647A28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:rsidR="00647A28" w:rsidRDefault="00647A28" w:rsidP="00647A28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7A28" w:rsidRDefault="00647A28" w:rsidP="00647A28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Фінансово-економічне обґрунтування</w:t>
      </w:r>
    </w:p>
    <w:p w:rsidR="00647A28" w:rsidRDefault="00647A28" w:rsidP="00647A28">
      <w:pPr>
        <w:pStyle w:val="docdata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даного рішення виділення коштів не потребує.</w:t>
      </w:r>
    </w:p>
    <w:p w:rsidR="00647A28" w:rsidRDefault="00647A28" w:rsidP="00647A28">
      <w:pPr>
        <w:pStyle w:val="docdata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</w:p>
    <w:p w:rsidR="00647A28" w:rsidRDefault="00647A28" w:rsidP="00647A28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 результатів</w:t>
      </w:r>
    </w:p>
    <w:p w:rsidR="00647A28" w:rsidRDefault="00647A28" w:rsidP="00647A28">
      <w:pPr>
        <w:pStyle w:val="a5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АТ «Ощадбанк».</w:t>
      </w:r>
    </w:p>
    <w:p w:rsidR="00647A28" w:rsidRDefault="00647A28" w:rsidP="00647A28">
      <w:pPr>
        <w:pStyle w:val="a5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7A28" w:rsidRDefault="00647A28" w:rsidP="00647A28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Суб’єкт подання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</w:t>
      </w:r>
    </w:p>
    <w:p w:rsidR="00647A28" w:rsidRDefault="00647A28" w:rsidP="00647A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Маковський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Володимир.</w:t>
      </w:r>
    </w:p>
    <w:p w:rsidR="00647A28" w:rsidRDefault="00647A28" w:rsidP="00647A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47A28" w:rsidRDefault="00647A28" w:rsidP="00647A28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:rsidR="00647A28" w:rsidRDefault="00647A28" w:rsidP="00647A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47A28" w:rsidRDefault="00647A28" w:rsidP="00647A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47A28" w:rsidRDefault="00647A28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Володимир МАКОВСЬКИЙ</w:t>
      </w:r>
    </w:p>
    <w:p w:rsidR="00647A28" w:rsidRDefault="00647A28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47A28" w:rsidRDefault="00647A28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7D79" w:rsidRPr="00647A28" w:rsidRDefault="009B7D79" w:rsidP="00647A28"/>
    <w:sectPr w:rsidR="009B7D79" w:rsidRPr="00647A2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C6FFE"/>
    <w:rsid w:val="005F334B"/>
    <w:rsid w:val="00647A28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basedOn w:val="a"/>
    <w:qFormat/>
    <w:rsid w:val="005C6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C6FFE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2021-03-03T14:03:00Z</dcterms:created>
  <dcterms:modified xsi:type="dcterms:W3CDTF">2023-06-09T10:32:00Z</dcterms:modified>
</cp:coreProperties>
</file>