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:rsidR="00700E01" w:rsidRPr="00700E01" w:rsidRDefault="0074644B" w:rsidP="00700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4605805"/>
      <w:r w:rsidR="00700E01" w:rsidRPr="00700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bookmarkEnd w:id="0"/>
      <w:r w:rsidR="00700E01" w:rsidRPr="00700E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погодження технічної документації із землеустрою</w:t>
      </w:r>
    </w:p>
    <w:p w:rsidR="00700E01" w:rsidRPr="00700E01" w:rsidRDefault="00700E01" w:rsidP="00700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щодо встановлення меж частини земельних ділянок,</w:t>
      </w:r>
    </w:p>
    <w:p w:rsidR="00700E01" w:rsidRPr="00700E01" w:rsidRDefault="00700E01" w:rsidP="00700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які поширюється право суборенди, сервітуту та</w:t>
      </w:r>
    </w:p>
    <w:p w:rsidR="00700E01" w:rsidRPr="00700E01" w:rsidRDefault="00700E01" w:rsidP="00700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надання дозволу на розробку проекту землеустрою щодо </w:t>
      </w:r>
    </w:p>
    <w:p w:rsidR="00361CD8" w:rsidRPr="00700E01" w:rsidRDefault="00700E01" w:rsidP="00700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відведення земельних ділянок у користування з подальшим встановленням договору земельного сервітуту</w:t>
      </w:r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B039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3912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:rsidR="0074644B" w:rsidRPr="00827775" w:rsidRDefault="0074644B" w:rsidP="00297F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74644B" w:rsidRPr="00D34FBB" w:rsidRDefault="00297F99" w:rsidP="00297F99">
      <w:pPr>
        <w:tabs>
          <w:tab w:val="left" w:pos="567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="00687EB6"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="00687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звернень </w:t>
      </w:r>
      <w:r w:rsidR="00CD2CBE" w:rsidRPr="00297F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управління 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будівництва, житлово-комунального господарства, інфраструктури та транспорту</w:t>
      </w:r>
      <w:r w:rsidR="00CD2CBE" w:rsidRPr="00297F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приватного підприємства «Торговий дім Пегас»</w:t>
      </w:r>
      <w:r w:rsidR="00CD2CBE" w:rsidRPr="00297F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CD2C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CD2C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CD2C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>годження технічних документацій</w:t>
      </w:r>
      <w:r w:rsidR="00687EB6" w:rsidRPr="00CD2C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CBE" w:rsidRPr="00CD2CB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ехнічними документаціями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із землеустрою щодо вст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ановлення меж частини земельних ділянок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на як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поширюється право суборенди, сервітуту визначається площа земельного сервітуту на право </w:t>
      </w:r>
      <w:r w:rsidR="00CD2CBE" w:rsidRPr="00CD2C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прокладання та експлуатації ліній електропередачі, електронних комунікаційних мереж, трубопроводів, інших лінійних комунікацій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</w:t>
      </w:r>
      <w:r w:rsidR="00CD1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обслуговування електричної підстанції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 </w:t>
      </w:r>
      <w:r w:rsidR="008D00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приватному акціонерному товариству </w:t>
      </w:r>
      <w:r w:rsidR="008D0064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8D006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ДТЕК Київські регіональні електромережі</w:t>
      </w:r>
      <w:r w:rsidR="008D0064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393A8A" w:rsidRPr="00393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0E01" w:rsidRPr="00D7497F" w:rsidRDefault="00D7497F" w:rsidP="00D7497F">
      <w:pPr>
        <w:tabs>
          <w:tab w:val="left" w:pos="567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</w:t>
      </w:r>
      <w:r w:rsidRPr="00D749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приватного акціонерного товариства </w:t>
      </w:r>
      <w:r w:rsidRPr="00D749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«ДТЕК Київські регіональні електромережі» про надання дозволу на розробку проекту землеустрою щодо відведення земельних ділянок з подальшим укладанням договору сервітуту та </w:t>
      </w:r>
      <w:r w:rsidRPr="00D749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рийняття рішення </w:t>
      </w:r>
      <w:r w:rsidR="00BB2BF2" w:rsidRPr="00D7497F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надасть можливість </w:t>
      </w:r>
      <w:proofErr w:type="spellStart"/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 «ДТЕК» </w:t>
      </w:r>
      <w:r w:rsidR="005E0B7F" w:rsidRPr="00D7497F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C639E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ити документацію із землеустрою, сформувати ділянки </w:t>
      </w:r>
      <w:r w:rsidR="005E0B7F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639EB" w:rsidRPr="00D7497F">
        <w:rPr>
          <w:rFonts w:ascii="Times New Roman" w:hAnsi="Times New Roman" w:cs="Times New Roman"/>
          <w:sz w:val="28"/>
          <w:szCs w:val="28"/>
          <w:lang w:val="uk-UA"/>
        </w:rPr>
        <w:t>набути їх</w:t>
      </w:r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</w:t>
      </w:r>
      <w:r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на умовах сервітуту </w:t>
      </w:r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для прокладання та експлуатації ліній електропередач, електронних комунікаційних мереж, трубопроводів, інших комунікацій для </w:t>
      </w:r>
      <w:r w:rsidR="00953218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подальшого </w:t>
      </w:r>
      <w:r w:rsidR="00540AFB" w:rsidRPr="00D7497F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потреб територіальної громади. </w:t>
      </w:r>
    </w:p>
    <w:p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,98,99,</w:t>
      </w:r>
      <w:r w:rsidR="001C2EE3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0E01">
        <w:rPr>
          <w:rFonts w:ascii="Times New Roman" w:hAnsi="Times New Roman" w:cs="Times New Roman"/>
          <w:sz w:val="28"/>
          <w:szCs w:val="28"/>
          <w:lang w:val="uk-UA"/>
        </w:rPr>
        <w:t xml:space="preserve">статті 55-1 Закону України «Про землеустрій»,,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zh-CN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700E01" w:rsidRDefault="00700E01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00E01" w:rsidRDefault="00700E01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1C2EE3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>
        <w:rPr>
          <w:rFonts w:ascii="Times New Roman" w:hAnsi="Times New Roman"/>
          <w:sz w:val="28"/>
          <w:szCs w:val="28"/>
          <w:lang w:val="uk-UA" w:eastAsia="zh-CN"/>
        </w:rPr>
        <w:t>и звернень</w:t>
      </w:r>
      <w:r w:rsidR="00CD186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4371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розгляду 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приватне акціонерне товариство </w:t>
      </w:r>
      <w:r w:rsidR="00DB13E5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DB13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ДТЕК Київські регіональні електромережі</w:t>
      </w:r>
      <w:r w:rsidR="00DB13E5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DB13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земельними ділянками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:rsidR="0032597E" w:rsidRDefault="009865A5" w:rsidP="009865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65A5">
        <w:rPr>
          <w:rFonts w:ascii="Times New Roman" w:hAnsi="Times New Roman"/>
          <w:sz w:val="28"/>
          <w:szCs w:val="28"/>
          <w:lang w:val="uk-UA" w:eastAsia="zh-CN"/>
        </w:rPr>
        <w:t>Особа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відповідальна за підготовку проекту рішення – </w:t>
      </w:r>
      <w:r w:rsidR="00700E01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CD18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землеустрою </w:t>
      </w:r>
      <w:proofErr w:type="spellStart"/>
      <w:r w:rsidR="00700E01">
        <w:rPr>
          <w:rFonts w:ascii="Times New Roman" w:hAnsi="Times New Roman"/>
          <w:sz w:val="28"/>
          <w:szCs w:val="28"/>
          <w:lang w:val="uk-UA"/>
        </w:rPr>
        <w:t>Семеног</w:t>
      </w:r>
      <w:proofErr w:type="spellEnd"/>
      <w:r w:rsidR="00700E01">
        <w:rPr>
          <w:rFonts w:ascii="Times New Roman" w:hAnsi="Times New Roman"/>
          <w:sz w:val="28"/>
          <w:szCs w:val="28"/>
          <w:lang w:val="uk-UA"/>
        </w:rPr>
        <w:t xml:space="preserve"> Т.В.</w:t>
      </w:r>
    </w:p>
    <w:p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1C08"/>
    <w:rsid w:val="000214BF"/>
    <w:rsid w:val="00041B2E"/>
    <w:rsid w:val="00150AD8"/>
    <w:rsid w:val="001608D3"/>
    <w:rsid w:val="00192296"/>
    <w:rsid w:val="001A3FF0"/>
    <w:rsid w:val="001C2EE3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93A8A"/>
    <w:rsid w:val="003E3CDF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827775"/>
    <w:rsid w:val="00831E40"/>
    <w:rsid w:val="00831E61"/>
    <w:rsid w:val="008A21A7"/>
    <w:rsid w:val="008A3A2E"/>
    <w:rsid w:val="008B5B4E"/>
    <w:rsid w:val="008D0064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50AFE"/>
    <w:rsid w:val="00C639EB"/>
    <w:rsid w:val="00C73ACE"/>
    <w:rsid w:val="00CA0274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2023-05-04T08:13:00Z</cp:lastPrinted>
  <dcterms:created xsi:type="dcterms:W3CDTF">2023-02-03T12:20:00Z</dcterms:created>
  <dcterms:modified xsi:type="dcterms:W3CDTF">2023-05-04T08:47:00Z</dcterms:modified>
</cp:coreProperties>
</file>