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 № 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та передається на баланс </w:t>
      </w:r>
      <w:bookmarkStart w:id="1" w:name="_Hlk131668513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управління культури, сім’ї та молоді Броварської міської ради Броварського району Київської області: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8"/>
        <w:gridCol w:w="2392"/>
        <w:gridCol w:w="1604"/>
        <w:gridCol w:w="990"/>
        <w:gridCol w:w="1426"/>
        <w:gridCol w:w="1016"/>
        <w:gridCol w:w="135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bookmarkEnd w:id="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об'єкта(ів)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Номенклатур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 номер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Кіль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кість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грн.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грн.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tabs>
                <w:tab w:val="center" w:pos="1163"/>
              </w:tabs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журнальний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111361778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1'800,00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900,00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Персональний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комп'ютер (системний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блок з Pro w10,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монітор, клавіатура,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миша)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101480864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17'950,00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7628,71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10321,29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Системний блок іЗ-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10105, монітор EVR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OMEDIA, клавіатура,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миша Crown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101461109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16999,20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2124,90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14874,30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Calibri" w:hAnsi="Calibri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Calibri" w:hAnsi="Calibri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26095,59</w:t>
            </w:r>
          </w:p>
        </w:tc>
      </w:tr>
    </w:tbl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2023-04-06T13:53:06Z</dcterms:modified>
</cp:coreProperties>
</file>